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Cs/>
        </w:rPr>
      </w:pPr>
      <w:r>
        <w:rPr>
          <w:rFonts w:hint="eastAsia" w:ascii="黑体" w:hAnsi="黑体" w:eastAsia="黑体"/>
          <w:bCs/>
        </w:rPr>
        <w:t>附件：</w:t>
      </w:r>
    </w:p>
    <w:p>
      <w:pPr>
        <w:spacing w:line="360" w:lineRule="auto"/>
        <w:jc w:val="center"/>
        <w:rPr>
          <w:rFonts w:hint="eastAsia" w:ascii="黑体" w:hAnsi="黑体" w:eastAsia="黑体"/>
          <w:bCs/>
          <w:sz w:val="30"/>
          <w:szCs w:val="30"/>
        </w:rPr>
      </w:pPr>
      <w:r>
        <w:rPr>
          <w:rFonts w:hint="eastAsia" w:ascii="黑体" w:hAnsi="黑体" w:eastAsia="黑体"/>
          <w:bCs/>
          <w:sz w:val="30"/>
          <w:szCs w:val="30"/>
        </w:rPr>
        <w:t>委托第三方合作开展“肿瘤基因检测与伴随诊断检验服务”项目技术参数</w:t>
      </w:r>
    </w:p>
    <w:p>
      <w:pPr>
        <w:spacing w:line="360" w:lineRule="auto"/>
        <w:rPr>
          <w:rFonts w:eastAsia="仿宋"/>
          <w:color w:val="000000"/>
          <w:shd w:val="clear" w:color="auto" w:fill="FFFFFF"/>
        </w:rPr>
      </w:pPr>
      <w:r>
        <w:rPr>
          <w:rFonts w:hint="eastAsia" w:ascii="黑体" w:hAnsi="黑体" w:eastAsia="黑体"/>
          <w:bCs/>
        </w:rPr>
        <w:t>一、资格要求</w:t>
      </w:r>
    </w:p>
    <w:p>
      <w:pPr>
        <w:pStyle w:val="9"/>
        <w:numPr>
          <w:ilvl w:val="0"/>
          <w:numId w:val="1"/>
        </w:numPr>
        <w:spacing w:line="360" w:lineRule="auto"/>
        <w:ind w:firstLineChars="0"/>
        <w:rPr>
          <w:rFonts w:eastAsia="仿宋"/>
          <w:color w:val="000000"/>
          <w:shd w:val="clear" w:color="auto" w:fill="FFFFFF"/>
        </w:rPr>
      </w:pPr>
      <w:r>
        <w:rPr>
          <w:rFonts w:hint="eastAsia" w:eastAsia="仿宋"/>
          <w:color w:val="000000"/>
          <w:shd w:val="clear" w:color="auto" w:fill="FFFFFF"/>
        </w:rPr>
        <w:t>具备《政府采购法》第二十二条规定的条件,且提供以下证明文件：</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（1）在中华人民共和国境内注册的具有独立承担民事责任能力的法人或其他组织（提供营业执照等证明文件）；</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（2）有依法缴纳税收和社会保障资金的良好记录的加盖服务</w:t>
      </w:r>
      <w:bookmarkStart w:id="0" w:name="_GoBack"/>
      <w:bookmarkEnd w:id="0"/>
      <w:r>
        <w:rPr>
          <w:rFonts w:hint="eastAsia" w:eastAsia="仿宋"/>
          <w:color w:val="000000"/>
          <w:shd w:val="clear" w:color="auto" w:fill="FFFFFF"/>
        </w:rPr>
        <w:t>商公章的书面声明；</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（3）具有良好的商业信誉和健全的财务会计制度的加盖服务商公章的书面声明；</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（4）履行合同所必需的设备和专业技术能力的证明材料或加盖服务商公章的书面声明；；</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（5）参加政府采购活动前3年内在经营活动中没有重大违法记录的加盖服务商公章书面声明；</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（6）符合法律、行政法规规定的其他条件：不存在“不同投标供应商的法定代表人或负责人 为同一人，或者存在控股、管理关系的不同供应商同时参加本项目投标”的情形。提供加盖服务商公章的书面声明函；</w:t>
      </w:r>
    </w:p>
    <w:p>
      <w:pPr>
        <w:pStyle w:val="9"/>
        <w:numPr>
          <w:ilvl w:val="0"/>
          <w:numId w:val="1"/>
        </w:numPr>
        <w:spacing w:line="360" w:lineRule="auto"/>
        <w:ind w:firstLineChars="0"/>
        <w:rPr>
          <w:rFonts w:eastAsia="仿宋"/>
          <w:color w:val="000000"/>
          <w:shd w:val="clear" w:color="auto" w:fill="FFFFFF"/>
        </w:rPr>
      </w:pPr>
      <w:r>
        <w:rPr>
          <w:rFonts w:hint="eastAsia" w:eastAsia="仿宋"/>
          <w:color w:val="000000"/>
          <w:shd w:val="clear" w:color="auto" w:fill="FFFFFF"/>
        </w:rPr>
        <w:t>具有有效的《医疗机构执业许可证》</w:t>
      </w:r>
      <w:r>
        <w:rPr>
          <w:rFonts w:eastAsia="仿宋"/>
          <w:color w:val="000000"/>
          <w:shd w:val="clear" w:color="auto" w:fill="FFFFFF"/>
        </w:rPr>
        <w:t>，</w:t>
      </w:r>
      <w:r>
        <w:rPr>
          <w:rFonts w:hint="eastAsia" w:eastAsia="仿宋"/>
          <w:color w:val="000000"/>
          <w:shd w:val="clear" w:color="auto" w:fill="FFFFFF"/>
        </w:rPr>
        <w:t>提供加盖服务商公章的有效的许可证复印件</w:t>
      </w:r>
      <w:r>
        <w:rPr>
          <w:rFonts w:eastAsia="仿宋"/>
          <w:color w:val="000000"/>
          <w:shd w:val="clear" w:color="auto" w:fill="FFFFFF"/>
        </w:rPr>
        <w:t>。</w:t>
      </w:r>
    </w:p>
    <w:p>
      <w:pPr>
        <w:pStyle w:val="9"/>
        <w:numPr>
          <w:ilvl w:val="0"/>
          <w:numId w:val="1"/>
        </w:numPr>
        <w:spacing w:line="360" w:lineRule="auto"/>
        <w:ind w:firstLineChars="0"/>
        <w:rPr>
          <w:rFonts w:eastAsia="仿宋"/>
          <w:color w:val="000000"/>
          <w:shd w:val="clear" w:color="auto" w:fill="FFFFFF"/>
        </w:rPr>
      </w:pPr>
      <w:r>
        <w:rPr>
          <w:rFonts w:hint="eastAsia" w:eastAsia="仿宋"/>
          <w:color w:val="000000"/>
          <w:shd w:val="clear" w:color="auto" w:fill="FFFFFF"/>
        </w:rPr>
        <w:t>服务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pStyle w:val="9"/>
        <w:numPr>
          <w:ilvl w:val="0"/>
          <w:numId w:val="1"/>
        </w:numPr>
        <w:spacing w:line="360" w:lineRule="auto"/>
        <w:ind w:firstLineChars="0"/>
        <w:rPr>
          <w:rFonts w:eastAsia="仿宋"/>
        </w:rPr>
      </w:pPr>
      <w:r>
        <w:rPr>
          <w:rFonts w:hint="eastAsia" w:hAnsi="仿宋" w:eastAsia="仿宋"/>
          <w:color w:val="000000"/>
          <w:shd w:val="clear" w:color="auto" w:fill="FFFFFF"/>
        </w:rPr>
        <w:t>服务商</w:t>
      </w:r>
      <w:r>
        <w:rPr>
          <w:rFonts w:hAnsi="仿宋" w:eastAsia="仿宋"/>
          <w:color w:val="000000"/>
          <w:shd w:val="clear" w:color="auto" w:fill="FFFFFF"/>
        </w:rPr>
        <w:t>具有临床基因扩增检验实验室资质。</w:t>
      </w:r>
    </w:p>
    <w:p>
      <w:pPr>
        <w:pStyle w:val="9"/>
        <w:numPr>
          <w:ilvl w:val="0"/>
          <w:numId w:val="1"/>
        </w:numPr>
        <w:spacing w:line="360" w:lineRule="auto"/>
        <w:ind w:firstLineChars="0"/>
        <w:rPr>
          <w:rFonts w:eastAsia="仿宋"/>
        </w:rPr>
      </w:pPr>
      <w:r>
        <w:rPr>
          <w:rFonts w:hint="eastAsia" w:eastAsia="仿宋"/>
        </w:rPr>
        <w:t>本项目只允许唯一方案报价且不接受联合体投标。提供加盖服务商公章的承诺函。</w:t>
      </w:r>
    </w:p>
    <w:p>
      <w:pPr>
        <w:spacing w:line="360" w:lineRule="auto"/>
        <w:rPr>
          <w:rFonts w:ascii="黑体" w:hAnsi="黑体" w:eastAsia="黑体"/>
          <w:bCs/>
        </w:rPr>
      </w:pPr>
      <w:r>
        <w:rPr>
          <w:rFonts w:hint="eastAsia" w:ascii="黑体" w:hAnsi="黑体" w:eastAsia="黑体"/>
          <w:bCs/>
        </w:rPr>
        <w:t>二</w:t>
      </w:r>
      <w:r>
        <w:rPr>
          <w:rFonts w:ascii="黑体" w:hAnsi="黑体" w:eastAsia="黑体"/>
          <w:bCs/>
        </w:rPr>
        <w:t>、</w:t>
      </w:r>
      <w:r>
        <w:rPr>
          <w:rFonts w:hint="eastAsia" w:ascii="黑体" w:hAnsi="黑体" w:eastAsia="黑体"/>
          <w:bCs/>
        </w:rPr>
        <w:t>服务</w:t>
      </w:r>
      <w:r>
        <w:rPr>
          <w:rFonts w:ascii="黑体" w:hAnsi="黑体" w:eastAsia="黑体"/>
          <w:bCs/>
        </w:rPr>
        <w:t>要求</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服务商的检测实验室应在广州市范围内，避免因标本存放时间长而影响检测结果以及检测周期。</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服务商的检验信息系统能与医院的信息系统进行对接，可及时上传检测报告并实现检验结果的院内查询，使医务人员可以随时调阅（提供证明）。</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标本收集及检测：</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（1）服务商常规每日两次到采购人规定地点收集外送标本。紧急或特殊情况下，可按采购人要求临时增加收集次数并按时送回合法有效的检验报告。</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服务商必须确保及时接收、送检标本和及时检验承担样品接收、包装、寄送、质量的初检、标识的核对，标本接收登记、样本检测、结果分析工作。在接收标本后需及时对样品进行质检、实验，并严格把关各个环节，确保检测结果的准确性。如样本质检不合格，应及时跟采购人进行沟通，协商重新送样事宜。服务商负责标本的运输及相关操作所产生的费用。</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（3）如采购人对检测结果有异议，并在标本保存有效期内提出，服务商应无条件免费重新检测。</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4）服务商应在承诺的检测报告周期内完成检测工作并按医院提供的报告模板出具检测报告，并对检测结果的真实性和可靠性负责。负责对出具的检测结果进行解释，并能根据临床需要参加疑难病例讨论。服务商在接收标本后，不能按期发放报告的引起医疗纠纷或严重后果的，服务商应积极与医院协商后续处理方案，并承担相应责任及所有相关费用。</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运输系统要求</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（1）服务商需配备完善的物流运输体系，符合临床标本运送的专业物流服务，运输必须符合生物安全要求，并确保标本运输与保存不影响检验质量，具备《道路运输经营许可证》。</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（2）所有标本的运送必须符合标本温度的管理要求，采用相应的运送技术，特殊标本运输过程中需干冰冻存。</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（3）所有标本运送必须采用符合相关标准的物流车或转送车辆及物流箱，物流车或转送车辆及物流箱配备数量满足标本转送要求。</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（4）标本交接及运送过程必须符合标本的安全管理要求。</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报告发放：</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（1）检验报告单必须由具备相应资质的检验人员签发，并经上级医师复核。出现因检验结果错误导致采购人医疗纠纷等不良后果，由服务商承担责任。</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由于受检者个体差异原因致无法检测而停止的，服务商须与采购人及时沟通解决，服务商不得收取检测费用；受检者因对个体差异原因和检测或数据处理过程中遇到技术障碍、疑难等导致检测结果迟延或无法检测有异议时，投标供应商应全力协助采购人向受检者做出解释以及承担相应的法律责任。</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3）服务商如需召回检验报告的，可通过电话、邮寄、传真、电子邮件、当面告知等任一方式通知采购人召回检验报告，并通过上述形式提供新的检验报告，并协助采购人向受检者做出解释以及承担相应的法律责任。</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（4）检验报告单必须由具备相应资质的检验人员签发，并经上级医师复核。出现因检验结果错误导致采购人医疗纠纷等不良后果，由服务商承担责任。</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5）投标供应商须保证按国家检验规范进行操作，并对标本的检验报告承担相应的责任。由于投标供应商的技术、仪器、试剂质量或数据分析等导致的问题，由投标供应商自行承担相应的法律责任，采购人不承担任何连带责任。提供加盖投标供应商公章的承诺函。</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服务商须提供实验技术整体方案，包括质量保证措施与承诺，拟投入本项目的技术团队（管理和技术人员）安排，拟投入本项目的所必需的仪器设备，实验室安全管理制度、质量管理制度、工作制度等，在医院提供的实验场地开展检测服务，并保证检测项目正常稳定运行。</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服务商须在提供委托检验项目标准操作程序、室内质量控制和室间质评方案（室内质控方案的内容应包括但不限于质控检测数据、控制标准、质控分析、失控报告）。</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售前售后服务要求</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（1）有专人负责用户业务及质量、技术、培训等工作。</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（2）常规设有客服人员负责采购方反馈信息的受理、传达、跟踪处理等工作，以满足售后服务。</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（3）提供后续增值服务方案（如对于报告出现的问题和采购人临时增添的标本检验，服务商负责按时进行修改或完成）。</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（4）需提供检测报告的解读服务，协助临床医生及患者对检测结果进行分析解读。必要时需派驻具有医学检验背景/专业的技术专业人员提供上门售后服务。</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5）建立快速的客户服务反应机制，如有针对服务商或双方的投诉需处理的情况，服务商应派代表在半日内到达医院及时沟通处理；若主要针对采购人的投诉或需处理的情况，服务商有义务协助采购人及时沟通处理。</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（6）能够按采购人要求妥善保存及销毁检验后标本。</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技术支持：</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（1）服务商提供采购人实验室人员到投标供应商实验室进修的机会，以提高采购人实验室人员的专业技能。</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（2）协助设计、制作相关医学检验宣传资料。</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人员要求：</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（1）本项目要求配置满足本项目采购需求的技术服务人员，其中，应包含拟派本项目的项目负责人、检验师、医师。</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（2）投标供应商须在投标文件中提供上述人员的身份证、技术资格证、在本单位购买社保的相关证明文件。</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shd w:val="clear" w:color="auto" w:fill="FFFFFF"/>
        </w:rPr>
        <w:t>验收要求：</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（1）投标供应商应在投标文件中提供详细的验收方案，包括验收项目、验收标准、验收实施办法等。</w:t>
      </w:r>
    </w:p>
    <w:p>
      <w:pPr>
        <w:pStyle w:val="9"/>
        <w:spacing w:line="360" w:lineRule="auto"/>
        <w:ind w:firstLine="0" w:firstLineChars="0"/>
        <w:rPr>
          <w:rFonts w:eastAsia="仿宋"/>
          <w:color w:val="000000"/>
          <w:shd w:val="clear" w:color="auto" w:fill="FFFFFF"/>
        </w:rPr>
      </w:pPr>
      <w:r>
        <w:rPr>
          <w:rFonts w:hint="eastAsia" w:eastAsia="仿宋"/>
          <w:color w:val="000000"/>
          <w:shd w:val="clear" w:color="auto" w:fill="FFFFFF"/>
        </w:rPr>
        <w:t>（2）验收由采购人与中标供应商及相关人员按国家有关的规定、规范进行。</w:t>
      </w:r>
    </w:p>
    <w:p>
      <w:pPr>
        <w:pStyle w:val="9"/>
        <w:numPr>
          <w:ilvl w:val="0"/>
          <w:numId w:val="2"/>
        </w:numPr>
        <w:spacing w:line="360" w:lineRule="auto"/>
        <w:ind w:firstLineChars="0"/>
        <w:rPr>
          <w:rFonts w:eastAsia="仿宋"/>
          <w:color w:val="000000"/>
          <w:shd w:val="clear" w:color="auto" w:fill="FFFFFF"/>
        </w:rPr>
      </w:pPr>
      <w:r>
        <w:rPr>
          <w:rFonts w:hint="eastAsia" w:eastAsia="仿宋"/>
          <w:color w:val="000000"/>
          <w:highlight w:val="none"/>
          <w:shd w:val="clear" w:color="auto" w:fill="FFFFFF"/>
        </w:rPr>
        <w:t>具体委托的项目详见但不限于附件一所列检验项目，如检验医学部出现突发应急情况，如试剂短缺、设备故障或其他原因导致短期无法正常开展等，而第三方又可正常开展的项目。</w:t>
      </w:r>
    </w:p>
    <w:p>
      <w:pPr>
        <w:spacing w:line="360" w:lineRule="auto"/>
        <w:rPr>
          <w:rFonts w:ascii="黑体" w:hAnsi="黑体" w:eastAsia="黑体"/>
          <w:bCs/>
        </w:rPr>
      </w:pPr>
      <w:r>
        <w:rPr>
          <w:rFonts w:hint="eastAsia" w:ascii="黑体" w:hAnsi="黑体" w:eastAsia="黑体"/>
          <w:bCs/>
        </w:rPr>
        <w:t>三</w:t>
      </w:r>
      <w:r>
        <w:rPr>
          <w:rFonts w:ascii="黑体" w:hAnsi="黑体" w:eastAsia="黑体"/>
          <w:bCs/>
        </w:rPr>
        <w:t>、</w:t>
      </w:r>
      <w:r>
        <w:rPr>
          <w:rFonts w:hint="eastAsia" w:ascii="黑体" w:hAnsi="黑体" w:eastAsia="黑体"/>
          <w:bCs/>
        </w:rPr>
        <w:t>技术</w:t>
      </w:r>
      <w:r>
        <w:rPr>
          <w:rFonts w:ascii="黑体" w:hAnsi="黑体" w:eastAsia="黑体"/>
          <w:bCs/>
        </w:rPr>
        <w:t>要求</w:t>
      </w:r>
    </w:p>
    <w:p>
      <w:pPr>
        <w:pStyle w:val="9"/>
        <w:numPr>
          <w:ilvl w:val="0"/>
          <w:numId w:val="3"/>
        </w:numPr>
        <w:spacing w:line="360" w:lineRule="auto"/>
        <w:ind w:firstLineChars="0"/>
        <w:rPr>
          <w:rFonts w:eastAsia="仿宋"/>
          <w:color w:val="000000"/>
          <w:shd w:val="clear" w:color="auto" w:fill="FFFFFF"/>
        </w:rPr>
      </w:pPr>
      <w:r>
        <w:rPr>
          <w:rFonts w:hint="eastAsia" w:eastAsia="仿宋"/>
          <w:color w:val="000000"/>
          <w:shd w:val="clear" w:color="auto" w:fill="FFFFFF"/>
        </w:rPr>
        <w:t>服务商须负责承担服务项目清单中所有检测项目，每个检测项目均须提供检测报告或研发数据作为证明，否则，该条技术指标视为不完全满足用户需求。</w:t>
      </w:r>
    </w:p>
    <w:p>
      <w:pPr>
        <w:pStyle w:val="9"/>
        <w:numPr>
          <w:ilvl w:val="0"/>
          <w:numId w:val="3"/>
        </w:numPr>
        <w:spacing w:line="360" w:lineRule="auto"/>
        <w:ind w:firstLineChars="0"/>
        <w:rPr>
          <w:rFonts w:eastAsia="仿宋"/>
          <w:color w:val="000000"/>
          <w:shd w:val="clear" w:color="auto" w:fill="FFFFFF"/>
        </w:rPr>
      </w:pPr>
      <w:r>
        <w:rPr>
          <w:rFonts w:hint="eastAsia" w:hAnsi="仿宋" w:eastAsia="仿宋"/>
          <w:color w:val="000000"/>
          <w:shd w:val="clear" w:color="auto" w:fill="FFFFFF"/>
        </w:rPr>
        <w:t>服务商所使用的测序仪需具有有效的医疗器械注册证，可以用于临床检测；为能满足临床组织及血液样本大panel的检测临床需求，500个基因以上的项目要求采用通量＞300G/RUN的测序仪。</w:t>
      </w:r>
    </w:p>
    <w:p>
      <w:pPr>
        <w:pStyle w:val="9"/>
        <w:numPr>
          <w:ilvl w:val="0"/>
          <w:numId w:val="3"/>
        </w:numPr>
        <w:spacing w:line="360" w:lineRule="auto"/>
        <w:ind w:firstLineChars="0"/>
        <w:rPr>
          <w:rFonts w:eastAsia="仿宋"/>
          <w:color w:val="000000"/>
          <w:shd w:val="clear" w:color="auto" w:fill="FFFFFF"/>
        </w:rPr>
      </w:pPr>
      <w:r>
        <w:rPr>
          <w:rFonts w:hint="eastAsia" w:hAnsi="仿宋" w:eastAsia="仿宋"/>
          <w:color w:val="000000"/>
          <w:shd w:val="clear" w:color="auto" w:fill="FFFFFF"/>
        </w:rPr>
        <w:t>服务商必须具有相应的医学检验资质，委托检验项目所采用的检测试剂盒必须按分类要求已通过国家或省食品药品监督局的审批。</w:t>
      </w:r>
    </w:p>
    <w:p>
      <w:pPr>
        <w:pStyle w:val="9"/>
        <w:numPr>
          <w:ilvl w:val="0"/>
          <w:numId w:val="3"/>
        </w:numPr>
        <w:spacing w:line="360" w:lineRule="auto"/>
        <w:ind w:firstLineChars="0"/>
        <w:rPr>
          <w:rFonts w:eastAsia="仿宋"/>
          <w:color w:val="000000"/>
          <w:shd w:val="clear" w:color="auto" w:fill="FFFFFF"/>
        </w:rPr>
      </w:pPr>
      <w:r>
        <w:rPr>
          <w:rFonts w:hint="eastAsia" w:hAnsi="仿宋" w:eastAsia="仿宋"/>
          <w:color w:val="000000"/>
          <w:shd w:val="clear" w:color="auto" w:fill="FFFFFF"/>
        </w:rPr>
        <w:t>服务商</w:t>
      </w:r>
      <w:r>
        <w:rPr>
          <w:rFonts w:hint="eastAsia" w:eastAsia="仿宋"/>
          <w:color w:val="000000"/>
          <w:shd w:val="clear" w:color="auto" w:fill="FFFFFF"/>
        </w:rPr>
        <w:t>具有承接附件一列表清单中检测所有项目能力，且委托检验项目的技术指标要求满足附件一中所列检验项目的技术要求。</w:t>
      </w:r>
    </w:p>
    <w:p>
      <w:pPr>
        <w:pStyle w:val="9"/>
        <w:numPr>
          <w:ilvl w:val="0"/>
          <w:numId w:val="4"/>
        </w:numPr>
        <w:spacing w:line="360" w:lineRule="auto"/>
        <w:ind w:left="-420" w:leftChars="0" w:firstLineChars="0"/>
        <w:jc w:val="both"/>
        <w:rPr>
          <w:rFonts w:hint="eastAsia" w:ascii="黑体" w:hAnsi="黑体" w:eastAsia="黑体" w:cs="Times New Roman"/>
          <w:bCs/>
          <w:sz w:val="24"/>
          <w:szCs w:val="24"/>
          <w:lang w:val="en-US" w:eastAsia="zh-CN" w:bidi="ar-SA"/>
        </w:rPr>
      </w:pPr>
      <w:r>
        <w:rPr>
          <w:rFonts w:hint="eastAsia" w:ascii="黑体" w:hAnsi="黑体" w:eastAsia="黑体" w:cs="Times New Roman"/>
          <w:bCs/>
          <w:sz w:val="24"/>
          <w:szCs w:val="24"/>
          <w:lang w:val="en-US" w:eastAsia="zh-CN" w:bidi="ar-SA"/>
        </w:rPr>
        <w:t>服务时限</w:t>
      </w:r>
    </w:p>
    <w:p>
      <w:pPr>
        <w:pStyle w:val="9"/>
        <w:numPr>
          <w:ilvl w:val="0"/>
          <w:numId w:val="0"/>
        </w:numPr>
        <w:spacing w:line="360" w:lineRule="auto"/>
        <w:ind w:leftChars="200"/>
        <w:rPr>
          <w:rFonts w:hint="default" w:eastAsia="仿宋"/>
          <w:color w:val="000000"/>
          <w:shd w:val="clear" w:color="auto" w:fill="FFFFFF"/>
          <w:lang w:val="en-US" w:eastAsia="zh-CN"/>
        </w:rPr>
      </w:pPr>
      <w:r>
        <w:rPr>
          <w:rFonts w:hint="eastAsia" w:eastAsia="仿宋"/>
          <w:color w:val="000000"/>
          <w:shd w:val="clear" w:color="auto" w:fill="FFFFFF"/>
          <w:lang w:val="en-US" w:eastAsia="zh-CN"/>
        </w:rPr>
        <w:t>2年。</w:t>
      </w:r>
    </w:p>
    <w:p>
      <w:pPr>
        <w:pStyle w:val="9"/>
        <w:spacing w:line="360" w:lineRule="auto"/>
        <w:ind w:firstLine="0" w:firstLineChars="0"/>
        <w:rPr>
          <w:rFonts w:ascii="黑体" w:hAnsi="黑体" w:eastAsia="黑体"/>
          <w:bCs/>
        </w:rPr>
      </w:pPr>
      <w:r>
        <w:rPr>
          <w:rFonts w:hint="eastAsia" w:ascii="黑体" w:hAnsi="黑体" w:eastAsia="黑体"/>
          <w:bCs/>
        </w:rPr>
        <w:t>附件一：</w:t>
      </w:r>
      <w:r>
        <w:rPr>
          <w:rFonts w:ascii="黑体" w:hAnsi="黑体" w:eastAsia="黑体"/>
          <w:bCs/>
        </w:rPr>
        <w:t>项目的主要配置和技术参数</w:t>
      </w:r>
    </w:p>
    <w:tbl>
      <w:tblPr>
        <w:tblStyle w:val="4"/>
        <w:tblpPr w:leftFromText="180" w:rightFromText="180" w:vertAnchor="text" w:horzAnchor="margin" w:tblpY="1426"/>
        <w:tblW w:w="9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389"/>
        <w:gridCol w:w="1462"/>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Calibri" w:eastAsia="幼圆" w:cs="幼圆"/>
                <w:kern w:val="2"/>
                <w:sz w:val="21"/>
                <w:szCs w:val="21"/>
              </w:rPr>
            </w:pPr>
            <w:r>
              <w:rPr>
                <w:rFonts w:hint="eastAsia" w:ascii="幼圆" w:eastAsia="幼圆"/>
                <w:sz w:val="21"/>
                <w:szCs w:val="21"/>
              </w:rPr>
              <w:t>序号</w:t>
            </w:r>
          </w:p>
        </w:tc>
        <w:tc>
          <w:tcPr>
            <w:tcW w:w="13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Calibri" w:eastAsia="幼圆" w:cs="幼圆"/>
                <w:kern w:val="2"/>
                <w:sz w:val="21"/>
                <w:szCs w:val="21"/>
              </w:rPr>
            </w:pPr>
            <w:r>
              <w:rPr>
                <w:rFonts w:hint="eastAsia" w:ascii="幼圆" w:eastAsia="幼圆"/>
                <w:sz w:val="21"/>
                <w:szCs w:val="21"/>
              </w:rPr>
              <w:t>检测项目</w:t>
            </w:r>
            <w:r>
              <w:rPr>
                <w:rFonts w:hint="eastAsia" w:ascii="幼圆" w:hAnsi="宋体" w:eastAsia="幼圆"/>
                <w:sz w:val="21"/>
                <w:szCs w:val="21"/>
              </w:rPr>
              <w:t>名称</w:t>
            </w:r>
          </w:p>
        </w:tc>
        <w:tc>
          <w:tcPr>
            <w:tcW w:w="1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幼圆" w:eastAsia="幼圆"/>
                <w:sz w:val="21"/>
                <w:szCs w:val="21"/>
              </w:rPr>
            </w:pPr>
            <w:r>
              <w:rPr>
                <w:rFonts w:hint="eastAsia" w:ascii="幼圆" w:hAnsi="宋体" w:eastAsia="幼圆"/>
                <w:sz w:val="21"/>
                <w:szCs w:val="21"/>
              </w:rPr>
              <w:t>样本类型</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Calibri" w:eastAsia="幼圆" w:cs="幼圆"/>
                <w:kern w:val="2"/>
                <w:sz w:val="21"/>
                <w:szCs w:val="21"/>
              </w:rPr>
            </w:pPr>
            <w:r>
              <w:rPr>
                <w:rFonts w:hint="eastAsia" w:ascii="幼圆" w:hAnsi="Calibri" w:eastAsia="幼圆"/>
                <w:kern w:val="2"/>
                <w:sz w:val="21"/>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both"/>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肺癌个体化诊疗基因突变检测（20-50个基因）</w:t>
            </w:r>
          </w:p>
        </w:tc>
        <w:tc>
          <w:tcPr>
            <w:tcW w:w="1462" w:type="dxa"/>
            <w:tcBorders>
              <w:top w:val="single" w:color="auto" w:sz="4" w:space="0"/>
              <w:left w:val="single" w:color="auto" w:sz="4" w:space="0"/>
              <w:right w:val="single" w:color="auto" w:sz="4" w:space="0"/>
            </w:tcBorders>
            <w:vAlign w:val="center"/>
          </w:tcPr>
          <w:p>
            <w:pPr>
              <w:numPr>
                <w:ilvl w:val="0"/>
                <w:numId w:val="6"/>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6"/>
              </w:numPr>
              <w:rPr>
                <w:rFonts w:ascii="幼圆" w:eastAsia="幼圆"/>
                <w:sz w:val="21"/>
                <w:szCs w:val="21"/>
              </w:rPr>
            </w:pPr>
            <w:r>
              <w:rPr>
                <w:rFonts w:hint="eastAsia" w:ascii="幼圆" w:hAnsi="宋体" w:eastAsia="幼圆"/>
                <w:sz w:val="21"/>
                <w:szCs w:val="21"/>
              </w:rPr>
              <w:t>streck管血液/胸腹水</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可检测基因覆盖度及变异检测类型：要求基于高通量测序平台进行多基因联合突变检测，对肿瘤石蜡组织DNA或血浆cfDNA进行高通量测序，识别与肿瘤相关的基因突变，必须覆盖肺癌靶向药相关的ALK, EGFR, KRAS, BRAF, ERBB2, RET, MET, ROS1基因的热点变异及其他在肺癌中具有重要临床意义的基因，可检测变异类型需包括点突变（SNV）、插入缺失（InDEL）、基因重排（Fusion）等。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乳腺癌/卵巢癌个体化诊疗基因突变检测（20-50个基因）</w:t>
            </w:r>
          </w:p>
        </w:tc>
        <w:tc>
          <w:tcPr>
            <w:tcW w:w="1462" w:type="dxa"/>
            <w:tcBorders>
              <w:top w:val="single" w:color="auto" w:sz="4" w:space="0"/>
              <w:left w:val="single" w:color="auto" w:sz="4" w:space="0"/>
              <w:right w:val="single" w:color="auto" w:sz="4" w:space="0"/>
            </w:tcBorders>
            <w:vAlign w:val="center"/>
          </w:tcPr>
          <w:p>
            <w:pPr>
              <w:numPr>
                <w:ilvl w:val="0"/>
                <w:numId w:val="7"/>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7"/>
              </w:numPr>
              <w:rPr>
                <w:rFonts w:ascii="幼圆" w:eastAsia="幼圆"/>
                <w:sz w:val="21"/>
                <w:szCs w:val="21"/>
              </w:rPr>
            </w:pPr>
            <w:r>
              <w:rPr>
                <w:rFonts w:hint="eastAsia" w:ascii="幼圆" w:hAnsi="宋体" w:eastAsia="幼圆"/>
                <w:sz w:val="21"/>
                <w:szCs w:val="21"/>
              </w:rPr>
              <w:t>streck管血液/胸腹水</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肿瘤石蜡组织DNA或血浆cfDNA进行高通量测序，识别与肿瘤相关的基因突变，必须覆盖乳腺癌/卵巢癌靶向药相关的BRCA1、BRCA2、HER2、PIK3CA基因的热点变异及其他在乳腺癌/卵巢癌中具有重要临床意义的基因，可检测变异类型需包括点突变（SNV）、插入缺失（InDEL）、拷贝数变异（CNV）、基因重排（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胃肠道肿瘤个体化诊疗基因检测（20-50个基因）</w:t>
            </w:r>
          </w:p>
        </w:tc>
        <w:tc>
          <w:tcPr>
            <w:tcW w:w="1462" w:type="dxa"/>
            <w:tcBorders>
              <w:top w:val="single" w:color="auto" w:sz="4" w:space="0"/>
              <w:left w:val="single" w:color="auto" w:sz="4" w:space="0"/>
              <w:right w:val="single" w:color="auto" w:sz="4" w:space="0"/>
            </w:tcBorders>
            <w:vAlign w:val="center"/>
          </w:tcPr>
          <w:p>
            <w:pPr>
              <w:numPr>
                <w:ilvl w:val="0"/>
                <w:numId w:val="8"/>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8"/>
              </w:numPr>
              <w:rPr>
                <w:rFonts w:ascii="幼圆" w:eastAsia="幼圆"/>
                <w:sz w:val="21"/>
                <w:szCs w:val="21"/>
              </w:rPr>
            </w:pPr>
            <w:r>
              <w:rPr>
                <w:rFonts w:hint="eastAsia" w:ascii="幼圆" w:hAnsi="宋体" w:eastAsia="幼圆"/>
                <w:sz w:val="21"/>
                <w:szCs w:val="21"/>
              </w:rPr>
              <w:t>streck管血液/胸腹水</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基于高通量测序平台进行多基因联合突变检测，对肿瘤石蜡组织DNA或血浆cfDNA进行高通量测序，识别与肿瘤相关的基因突变，必须覆盖胃肠道肿瘤靶向药相关的KRAS、NRAS、BRAF、HER2、NTRK基因的热点变异及其他在结直肠癌中具有重要临床意义的基因，可检测变异类型需包括点突变（SNV）、插入缺失（InDEL）、拷贝数变异（CNV）、基因重排（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宋体" w:eastAsia="幼圆"/>
                <w:kern w:val="2"/>
                <w:sz w:val="21"/>
                <w:szCs w:val="21"/>
              </w:rPr>
              <w:t>子宫内膜癌分子分型基因检测</w:t>
            </w:r>
          </w:p>
        </w:tc>
        <w:tc>
          <w:tcPr>
            <w:tcW w:w="1462" w:type="dxa"/>
            <w:tcBorders>
              <w:top w:val="single" w:color="auto" w:sz="4" w:space="0"/>
              <w:left w:val="single" w:color="auto" w:sz="4" w:space="0"/>
              <w:right w:val="single" w:color="auto" w:sz="4" w:space="0"/>
            </w:tcBorders>
            <w:vAlign w:val="center"/>
          </w:tcPr>
          <w:p>
            <w:pPr>
              <w:numPr>
                <w:ilvl w:val="0"/>
                <w:numId w:val="9"/>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9"/>
              </w:numPr>
              <w:rPr>
                <w:rFonts w:ascii="幼圆" w:eastAsia="幼圆"/>
                <w:sz w:val="21"/>
                <w:szCs w:val="21"/>
              </w:rPr>
            </w:pPr>
            <w:r>
              <w:rPr>
                <w:rFonts w:hint="eastAsia" w:ascii="幼圆" w:hAnsi="宋体" w:eastAsia="幼圆"/>
                <w:sz w:val="21"/>
                <w:szCs w:val="21"/>
              </w:rPr>
              <w:t>streck管血液/胸腹水</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本项目是基于高通量测序平台进行多基因联合突变检测，对子宫内膜癌组织DNA进行高通量测序，识别与肿瘤相关的基因突变；完全覆盖子宫内膜癌分子分型相关的指标MSI、POLE基因突变（至少覆盖POLE基因9-14号外显子的子宫内膜癌热点突变），及MLH1/MSH2/MSH6/ PMS2/EPCAM/TP53基因突变全部外显子及邻近±20bp 的内含子区域；检测变异类型需包括点突变（SNV）、插入缺失（InDEL）。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肿瘤个体化诊疗基因突变检测（100-200个基因）</w:t>
            </w:r>
          </w:p>
        </w:tc>
        <w:tc>
          <w:tcPr>
            <w:tcW w:w="1462" w:type="dxa"/>
            <w:tcBorders>
              <w:top w:val="single" w:color="auto" w:sz="4" w:space="0"/>
              <w:left w:val="single" w:color="auto" w:sz="4" w:space="0"/>
              <w:right w:val="single" w:color="auto" w:sz="4" w:space="0"/>
            </w:tcBorders>
            <w:vAlign w:val="center"/>
          </w:tcPr>
          <w:p>
            <w:pPr>
              <w:numPr>
                <w:ilvl w:val="0"/>
                <w:numId w:val="10"/>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10"/>
              </w:numPr>
              <w:rPr>
                <w:rFonts w:ascii="幼圆" w:eastAsia="幼圆"/>
                <w:sz w:val="21"/>
                <w:szCs w:val="21"/>
              </w:rPr>
            </w:pPr>
            <w:r>
              <w:rPr>
                <w:rFonts w:hint="eastAsia" w:ascii="幼圆" w:hAnsi="宋体" w:eastAsia="幼圆"/>
                <w:sz w:val="21"/>
                <w:szCs w:val="21"/>
              </w:rPr>
              <w:t>streck管血液/胸腹水</w:t>
            </w:r>
          </w:p>
          <w:p>
            <w:pPr>
              <w:rPr>
                <w:rFonts w:ascii="幼圆" w:eastAsia="幼圆"/>
                <w:sz w:val="21"/>
                <w:szCs w:val="21"/>
              </w:rPr>
            </w:pPr>
            <w:r>
              <w:rPr>
                <w:rFonts w:hint="eastAsia" w:ascii="幼圆" w:hAnsi="宋体" w:eastAsia="幼圆"/>
                <w:sz w:val="21"/>
                <w:szCs w:val="21"/>
              </w:rPr>
              <w:t>（均需以白细胞做对照组）</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肿瘤石蜡组织DNA或血浆cfDNA进行高通量测序，识别与肿瘤相关的基因突变，必须覆盖非小细胞肺癌、消化道肿瘤、乳腺癌/卵巢癌等常见癌种指南级别靶向药相关的热点突变及其他在肿瘤中具有重要临床意义的基因，可检测变异类型需包括点突变（SNV）、插入缺失（InDEL）、拷贝数变异（CNV）、基因重排（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blHeader/>
        </w:trPr>
        <w:tc>
          <w:tcPr>
            <w:tcW w:w="623" w:type="dxa"/>
            <w:vMerge w:val="restart"/>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vMerge w:val="restart"/>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肿瘤个体化诊疗基因突变检测（500个基因以上）</w:t>
            </w:r>
          </w:p>
        </w:tc>
        <w:tc>
          <w:tcPr>
            <w:tcW w:w="1462" w:type="dxa"/>
            <w:tcBorders>
              <w:top w:val="single" w:color="auto" w:sz="4" w:space="0"/>
              <w:left w:val="single" w:color="auto" w:sz="4" w:space="0"/>
              <w:right w:val="single" w:color="auto" w:sz="4" w:space="0"/>
            </w:tcBorders>
            <w:vAlign w:val="center"/>
          </w:tcPr>
          <w:p>
            <w:pPr>
              <w:numPr>
                <w:ilvl w:val="0"/>
                <w:numId w:val="11"/>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rPr>
                <w:rFonts w:ascii="幼圆" w:eastAsia="幼圆"/>
                <w:sz w:val="21"/>
                <w:szCs w:val="21"/>
              </w:rPr>
            </w:pPr>
            <w:r>
              <w:rPr>
                <w:rFonts w:hint="eastAsia" w:ascii="幼圆" w:hAnsi="宋体" w:eastAsia="幼圆"/>
                <w:sz w:val="21"/>
                <w:szCs w:val="21"/>
              </w:rPr>
              <w:t>（均需以白细胞做对照组）</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肿瘤石蜡组织DNA进行高通量测序，识别与肿瘤相关的基因突变，必须覆盖非小细胞肺癌、消化道肿瘤、乳腺癌/卵巢癌、泌尿系统肿瘤等常见癌种指南级别靶向药相关的热点突变及其他在肿瘤中具有重要临床意义的基因；探针杂交捕获的外显子区域大于0.8M，总大小大于1.5M；可检测变异类型需包括点突变（SNV）、插入缺失（InDEL）、拷贝数变异（CNV）、基因重排（Fusion），可进行肿瘤突变负荷（TMB）计算及MSI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blHeader/>
        </w:trPr>
        <w:tc>
          <w:tcPr>
            <w:tcW w:w="623" w:type="dxa"/>
            <w:vMerge w:val="continue"/>
            <w:tcBorders>
              <w:left w:val="single" w:color="auto" w:sz="4" w:space="0"/>
              <w:right w:val="single" w:color="auto" w:sz="4" w:space="0"/>
            </w:tcBorders>
            <w:vAlign w:val="center"/>
          </w:tcPr>
          <w:p>
            <w:pPr>
              <w:widowControl/>
              <w:ind w:left="425" w:hanging="425"/>
              <w:jc w:val="center"/>
              <w:rPr>
                <w:rFonts w:ascii="幼圆" w:eastAsia="幼圆"/>
                <w:sz w:val="21"/>
                <w:szCs w:val="21"/>
              </w:rPr>
            </w:pPr>
          </w:p>
        </w:tc>
        <w:tc>
          <w:tcPr>
            <w:tcW w:w="1389" w:type="dxa"/>
            <w:vMerge w:val="continue"/>
            <w:tcBorders>
              <w:left w:val="single" w:color="auto" w:sz="4" w:space="0"/>
              <w:right w:val="single" w:color="auto" w:sz="4" w:space="0"/>
            </w:tcBorders>
            <w:vAlign w:val="center"/>
          </w:tcPr>
          <w:p>
            <w:pPr>
              <w:jc w:val="center"/>
              <w:rPr>
                <w:rFonts w:ascii="幼圆" w:eastAsia="幼圆"/>
                <w:sz w:val="21"/>
                <w:szCs w:val="21"/>
              </w:rPr>
            </w:pPr>
          </w:p>
        </w:tc>
        <w:tc>
          <w:tcPr>
            <w:tcW w:w="1462" w:type="dxa"/>
            <w:tcBorders>
              <w:top w:val="single" w:color="auto" w:sz="4" w:space="0"/>
              <w:left w:val="single" w:color="auto" w:sz="4" w:space="0"/>
              <w:right w:val="single" w:color="auto" w:sz="4" w:space="0"/>
            </w:tcBorders>
            <w:vAlign w:val="center"/>
          </w:tcPr>
          <w:p>
            <w:pPr>
              <w:numPr>
                <w:ilvl w:val="0"/>
                <w:numId w:val="12"/>
              </w:numPr>
              <w:rPr>
                <w:rFonts w:ascii="幼圆" w:eastAsia="幼圆"/>
                <w:sz w:val="21"/>
                <w:szCs w:val="21"/>
              </w:rPr>
            </w:pPr>
            <w:r>
              <w:rPr>
                <w:rFonts w:hint="eastAsia" w:ascii="幼圆" w:hAnsi="宋体" w:eastAsia="幼圆"/>
                <w:sz w:val="21"/>
                <w:szCs w:val="21"/>
              </w:rPr>
              <w:t>streck管血液/胸腹水</w:t>
            </w:r>
          </w:p>
          <w:p>
            <w:pPr>
              <w:rPr>
                <w:rFonts w:ascii="幼圆" w:eastAsia="幼圆"/>
                <w:sz w:val="21"/>
                <w:szCs w:val="21"/>
              </w:rPr>
            </w:pPr>
            <w:r>
              <w:rPr>
                <w:rFonts w:hint="eastAsia" w:ascii="幼圆" w:hAnsi="宋体" w:eastAsia="幼圆"/>
                <w:sz w:val="21"/>
                <w:szCs w:val="21"/>
              </w:rPr>
              <w:t>（均需以白细胞做对照组）</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血浆cfDNA进行高通量测序，识别与肿瘤相关的基因突变，必须覆盖非小细胞肺癌、消化道肿瘤、乳腺癌/卵巢癌、泌尿系统肿瘤等常见癌种指南级别靶向药相关的热点突变及其他在肿瘤中具有重要临床意义的基因；探针杂交捕获的外显子区域大于0.8M，总大小大于1.5M；可检测变异类型需包括点突变（SNV）、插入缺失（InDEL）、拷贝数变异（CNV）、基因重排（Fusion），可进行肿瘤突变负荷（TMB）计算及MSI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Calibri" w:eastAsia="幼圆"/>
                <w:kern w:val="2"/>
                <w:sz w:val="21"/>
                <w:szCs w:val="21"/>
              </w:rPr>
              <w:t>肿瘤MRD基因检测</w:t>
            </w:r>
          </w:p>
        </w:tc>
        <w:tc>
          <w:tcPr>
            <w:tcW w:w="1462" w:type="dxa"/>
            <w:tcBorders>
              <w:top w:val="single" w:color="auto" w:sz="4" w:space="0"/>
              <w:left w:val="single" w:color="auto" w:sz="4" w:space="0"/>
              <w:right w:val="single" w:color="auto" w:sz="4" w:space="0"/>
            </w:tcBorders>
            <w:vAlign w:val="center"/>
          </w:tcPr>
          <w:p>
            <w:pPr>
              <w:rPr>
                <w:rFonts w:ascii="幼圆" w:hAnsi="Calibri" w:eastAsia="幼圆"/>
                <w:kern w:val="2"/>
                <w:sz w:val="21"/>
                <w:szCs w:val="21"/>
              </w:rPr>
            </w:pPr>
            <w:r>
              <w:rPr>
                <w:rFonts w:hint="eastAsia" w:ascii="幼圆" w:hAnsi="宋体" w:eastAsia="幼圆"/>
                <w:sz w:val="21"/>
                <w:szCs w:val="21"/>
              </w:rPr>
              <w:t>streck管血液</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对肺癌患者cfDNA进行超高深度饱和测序，可对手术或治疗后肿瘤患者外周血中微量ctDNA突变信号进行检测，辅助临床对肿瘤复发、预后进行风险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eastAsia="幼圆"/>
                <w:sz w:val="21"/>
                <w:szCs w:val="21"/>
              </w:rPr>
              <w:t>遗传性肿瘤基因检测（女/男性套餐）（50-100个基因）</w:t>
            </w:r>
          </w:p>
        </w:tc>
        <w:tc>
          <w:tcPr>
            <w:tcW w:w="1462"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宋体" w:eastAsia="幼圆"/>
                <w:sz w:val="21"/>
                <w:szCs w:val="21"/>
              </w:rPr>
              <w:t>EDTA管血液</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来源于血细胞的gDNA进行高通量测序，识别与遗传性肿瘤相关的胚系基因突变，必须覆盖消化道肿瘤、乳腺癌/卵巢癌、泌尿系统肿瘤等常见遗传性肿瘤的指南级别基因；需检测待检基因的全部外显子及邻近±20bp的内含子区域；可检测变异类型需包括点突变（SNV）、小片段插入缺失（in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Calibri" w:eastAsia="幼圆"/>
                <w:kern w:val="2"/>
                <w:sz w:val="21"/>
                <w:szCs w:val="21"/>
              </w:rPr>
              <w:t>遗传性乳腺癌/卵巢癌基因检测(20-50个基因)</w:t>
            </w:r>
          </w:p>
        </w:tc>
        <w:tc>
          <w:tcPr>
            <w:tcW w:w="1462"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宋体" w:eastAsia="幼圆"/>
                <w:sz w:val="21"/>
                <w:szCs w:val="21"/>
              </w:rPr>
              <w:t>EDTA管血液</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为来源于血细胞的gDNA进行高通量测序，识别与遗传性肿瘤相关的基因突变，必须覆盖遗传性乳腺癌/卵巢癌指南级别基因；需检测待检基因的全部外显子及邻近±20bp的内含子区域；可检测变异类型需包括点突变（SNV）、小片段插入缺失（in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top w:val="single" w:color="auto" w:sz="4" w:space="0"/>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right w:val="single" w:color="auto" w:sz="4" w:space="0"/>
            </w:tcBorders>
            <w:vAlign w:val="center"/>
          </w:tcPr>
          <w:p>
            <w:pPr>
              <w:jc w:val="center"/>
              <w:rPr>
                <w:rFonts w:ascii="幼圆" w:eastAsia="幼圆"/>
                <w:sz w:val="21"/>
                <w:szCs w:val="21"/>
              </w:rPr>
            </w:pPr>
            <w:r>
              <w:rPr>
                <w:rFonts w:hint="eastAsia" w:ascii="幼圆" w:hAnsi="Calibri" w:eastAsia="幼圆"/>
                <w:kern w:val="2"/>
                <w:sz w:val="21"/>
                <w:szCs w:val="21"/>
              </w:rPr>
              <w:t>遗传性消化系统肿瘤基因检测(20-50个基因)</w:t>
            </w:r>
          </w:p>
        </w:tc>
        <w:tc>
          <w:tcPr>
            <w:tcW w:w="1462" w:type="dxa"/>
            <w:tcBorders>
              <w:top w:val="single" w:color="auto" w:sz="4" w:space="0"/>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宋体" w:eastAsia="幼圆"/>
                <w:sz w:val="21"/>
                <w:szCs w:val="21"/>
              </w:rPr>
              <w:t>EDTA管血液</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为来源于血细胞的gDNA进行高通量测序识别与遗传性肿瘤相关的基因突变，必须覆盖遗传性消化系统肿瘤指南级别基因；需检测待检基因的全部外显子及邻近±20bp的内含子区域；可检测变异类型需包括点突变（SNV）、小片段插入缺失（in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Calibri" w:eastAsia="幼圆"/>
                <w:kern w:val="2"/>
                <w:sz w:val="21"/>
                <w:szCs w:val="21"/>
              </w:rPr>
              <w:t>林奇综合征基因检测</w:t>
            </w:r>
          </w:p>
        </w:tc>
        <w:tc>
          <w:tcPr>
            <w:tcW w:w="1462" w:type="dxa"/>
            <w:tcBorders>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宋体" w:eastAsia="幼圆"/>
                <w:sz w:val="21"/>
                <w:szCs w:val="21"/>
              </w:rPr>
              <w:t>EDTA管血液</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 行多基因联合突变检测，对来源于血细胞/口腔拭子的 gDNA 进 行高通量测序，识别林奇综合征指南级别基因 MLH1/MSH2/ MSH6/PMS2/EPCAM 的胚系基因突变；检测区域包括检测基因的全 部外显子及邻近±20bp 的内含子区域；检测变异类型包括点突 变（SNV）、小片段插入缺失（indel）。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Calibri" w:eastAsia="幼圆"/>
                <w:kern w:val="2"/>
                <w:sz w:val="21"/>
                <w:szCs w:val="21"/>
              </w:rPr>
              <w:t>淋巴瘤基因检测（50-100个基因）</w:t>
            </w:r>
          </w:p>
        </w:tc>
        <w:tc>
          <w:tcPr>
            <w:tcW w:w="1462" w:type="dxa"/>
            <w:tcBorders>
              <w:left w:val="single" w:color="auto" w:sz="4" w:space="0"/>
              <w:right w:val="single" w:color="auto" w:sz="4" w:space="0"/>
            </w:tcBorders>
            <w:vAlign w:val="center"/>
          </w:tcPr>
          <w:p>
            <w:pPr>
              <w:numPr>
                <w:ilvl w:val="0"/>
                <w:numId w:val="13"/>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rPr>
                <w:rFonts w:ascii="幼圆" w:hAnsi="Calibri" w:eastAsia="幼圆"/>
                <w:kern w:val="2"/>
                <w:sz w:val="21"/>
                <w:szCs w:val="21"/>
              </w:rPr>
            </w:pPr>
            <w:r>
              <w:rPr>
                <w:rFonts w:hint="eastAsia" w:ascii="幼圆" w:hAnsi="宋体" w:eastAsia="幼圆"/>
                <w:sz w:val="21"/>
                <w:szCs w:val="21"/>
              </w:rPr>
              <w:t>（以口腔拭子样本做对照组）</w:t>
            </w:r>
          </w:p>
        </w:tc>
        <w:tc>
          <w:tcPr>
            <w:tcW w:w="6251" w:type="dxa"/>
            <w:tcBorders>
              <w:top w:val="single" w:color="auto" w:sz="4" w:space="0"/>
              <w:left w:val="single" w:color="auto" w:sz="4" w:space="0"/>
              <w:bottom w:val="single" w:color="auto" w:sz="4" w:space="0"/>
              <w:right w:val="single" w:color="auto" w:sz="4" w:space="0"/>
            </w:tcBorders>
            <w:vAlign w:val="center"/>
          </w:tcPr>
          <w:p>
            <w:pPr>
              <w:widowControl/>
              <w:rPr>
                <w:rFonts w:ascii="幼圆" w:hAnsi="宋体" w:eastAsia="幼圆"/>
                <w:kern w:val="2"/>
                <w:sz w:val="21"/>
                <w:szCs w:val="21"/>
              </w:rPr>
            </w:pPr>
            <w:r>
              <w:rPr>
                <w:rFonts w:hint="eastAsia" w:ascii="幼圆" w:hAnsi="宋体" w:eastAsia="幼圆"/>
                <w:kern w:val="2"/>
                <w:sz w:val="21"/>
                <w:szCs w:val="21"/>
              </w:rPr>
              <w:t>可识别与淋巴瘤相关的基因突变，可对弥漫性大B细胞淋巴瘤进行亚型分型，覆盖11个WHO/NCCN预后评估基因变异，药物靶点基因突变等，可检测变异型需包括点突变（SNV）、插入缺失（InDEL）、拷贝数变异（CNV）、基因重排（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Calibri" w:eastAsia="幼圆"/>
                <w:kern w:val="2"/>
                <w:sz w:val="21"/>
                <w:szCs w:val="21"/>
              </w:rPr>
              <w:t>脑胶质瘤13基因检测</w:t>
            </w:r>
          </w:p>
        </w:tc>
        <w:tc>
          <w:tcPr>
            <w:tcW w:w="1462" w:type="dxa"/>
            <w:tcBorders>
              <w:left w:val="single" w:color="auto" w:sz="4" w:space="0"/>
              <w:right w:val="single" w:color="auto" w:sz="4" w:space="0"/>
            </w:tcBorders>
            <w:vAlign w:val="center"/>
          </w:tcPr>
          <w:p>
            <w:pPr>
              <w:numPr>
                <w:ilvl w:val="0"/>
                <w:numId w:val="14"/>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numPr>
                <w:ilvl w:val="0"/>
                <w:numId w:val="14"/>
              </w:numPr>
              <w:snapToGrid w:val="0"/>
              <w:spacing w:line="240" w:lineRule="exact"/>
              <w:rPr>
                <w:rFonts w:ascii="幼圆" w:hAnsi="宋体" w:eastAsia="幼圆"/>
                <w:sz w:val="21"/>
                <w:szCs w:val="21"/>
              </w:rPr>
            </w:pPr>
            <w:r>
              <w:rPr>
                <w:rFonts w:hint="eastAsia" w:ascii="幼圆" w:hAnsi="宋体" w:eastAsia="幼圆"/>
                <w:sz w:val="21"/>
                <w:szCs w:val="21"/>
              </w:rPr>
              <w:t>新鲜冰冻组织</w:t>
            </w:r>
          </w:p>
          <w:p>
            <w:pPr>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可检测基因覆盖度及变异检测类型：要求基于高通量测序平台进行多基因联合突变检测，对肿瘤石蜡包埋组织样本或新鲜冰冻组织样本进行高通量测序，识别与肿瘤相关的基因突变，必须覆盖脑胶质瘤重要诊断标志物IDH1，IDH2，TERT，CDKN2A/B,1p/19q共缺失，EGFR，MGMT，第7号染色体扩增，第10号染色体缺失，基因的热点变异、染色体变化及其他在脑胶质瘤中具有重要意义的基因，可检测的变异类型需包括点突变（SNV）、基因重排（Fusion）、甲基化位点、染色体扩增/缺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vAlign w:val="center"/>
          </w:tcPr>
          <w:p>
            <w:pPr>
              <w:widowControl/>
              <w:numPr>
                <w:ilvl w:val="0"/>
                <w:numId w:val="5"/>
              </w:numPr>
              <w:jc w:val="center"/>
              <w:rPr>
                <w:rFonts w:ascii="幼圆" w:eastAsia="幼圆"/>
                <w:sz w:val="21"/>
                <w:szCs w:val="21"/>
              </w:rPr>
            </w:pPr>
          </w:p>
        </w:tc>
        <w:tc>
          <w:tcPr>
            <w:tcW w:w="1389" w:type="dxa"/>
            <w:tcBorders>
              <w:left w:val="single" w:color="auto" w:sz="4" w:space="0"/>
              <w:right w:val="single" w:color="auto" w:sz="4" w:space="0"/>
            </w:tcBorders>
            <w:vAlign w:val="center"/>
          </w:tcPr>
          <w:p>
            <w:pPr>
              <w:jc w:val="center"/>
              <w:rPr>
                <w:rFonts w:ascii="幼圆" w:hAnsi="Calibri" w:eastAsia="幼圆"/>
                <w:kern w:val="2"/>
                <w:sz w:val="21"/>
                <w:szCs w:val="21"/>
              </w:rPr>
            </w:pPr>
            <w:r>
              <w:rPr>
                <w:rFonts w:hint="eastAsia" w:ascii="幼圆" w:hAnsi="Calibri" w:eastAsia="幼圆"/>
                <w:kern w:val="2"/>
                <w:sz w:val="21"/>
                <w:szCs w:val="21"/>
              </w:rPr>
              <w:t>结直肠癌4基因检测</w:t>
            </w:r>
          </w:p>
        </w:tc>
        <w:tc>
          <w:tcPr>
            <w:tcW w:w="1462" w:type="dxa"/>
            <w:tcBorders>
              <w:left w:val="single" w:color="auto" w:sz="4" w:space="0"/>
              <w:right w:val="single" w:color="auto" w:sz="4" w:space="0"/>
            </w:tcBorders>
            <w:vAlign w:val="center"/>
          </w:tcPr>
          <w:p>
            <w:pPr>
              <w:numPr>
                <w:ilvl w:val="0"/>
                <w:numId w:val="15"/>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可检测4基因KRAS、PIK3CA、BRAF、NRAS。可以为辅助诊断、用药指导、预后风险评估等提供临床参考。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tcPr>
          <w:p>
            <w:pPr>
              <w:widowControl/>
              <w:numPr>
                <w:ilvl w:val="0"/>
                <w:numId w:val="5"/>
              </w:numPr>
              <w:jc w:val="both"/>
              <w:rPr>
                <w:rFonts w:ascii="幼圆" w:eastAsia="幼圆"/>
                <w:sz w:val="21"/>
                <w:szCs w:val="21"/>
              </w:rPr>
            </w:pPr>
          </w:p>
        </w:tc>
        <w:tc>
          <w:tcPr>
            <w:tcW w:w="1389" w:type="dxa"/>
            <w:tcBorders>
              <w:left w:val="single" w:color="auto" w:sz="4" w:space="0"/>
              <w:right w:val="single" w:color="auto" w:sz="4" w:space="0"/>
            </w:tcBorders>
            <w:vAlign w:val="center"/>
          </w:tcPr>
          <w:p>
            <w:pPr>
              <w:jc w:val="center"/>
              <w:rPr>
                <w:rFonts w:ascii="幼圆" w:eastAsia="幼圆"/>
                <w:sz w:val="21"/>
                <w:szCs w:val="21"/>
              </w:rPr>
            </w:pPr>
            <w:r>
              <w:rPr>
                <w:rFonts w:hint="eastAsia" w:ascii="幼圆" w:hAnsi="Calibri" w:eastAsia="幼圆"/>
                <w:kern w:val="2"/>
                <w:sz w:val="21"/>
                <w:szCs w:val="21"/>
              </w:rPr>
              <w:t>甲状腺肿瘤8基因检测</w:t>
            </w:r>
          </w:p>
        </w:tc>
        <w:tc>
          <w:tcPr>
            <w:tcW w:w="1462" w:type="dxa"/>
            <w:tcBorders>
              <w:left w:val="single" w:color="auto" w:sz="4" w:space="0"/>
              <w:right w:val="single" w:color="auto" w:sz="4" w:space="0"/>
            </w:tcBorders>
            <w:vAlign w:val="center"/>
          </w:tcPr>
          <w:p>
            <w:pPr>
              <w:numPr>
                <w:ilvl w:val="0"/>
                <w:numId w:val="16"/>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jc w:val="center"/>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可检测8基因BRAF、HRAS、KRAS、NRAS、TERT、RET、PPARG、NTRK3。可以为辅助诊断、用药指导、预后风险评估等提供临床参考。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Borders>
              <w:left w:val="single" w:color="auto" w:sz="4" w:space="0"/>
              <w:right w:val="single" w:color="auto" w:sz="4" w:space="0"/>
            </w:tcBorders>
          </w:tcPr>
          <w:p>
            <w:pPr>
              <w:widowControl/>
              <w:numPr>
                <w:ilvl w:val="0"/>
                <w:numId w:val="5"/>
              </w:numPr>
              <w:jc w:val="both"/>
              <w:rPr>
                <w:rFonts w:ascii="幼圆" w:eastAsia="幼圆"/>
                <w:sz w:val="21"/>
                <w:szCs w:val="21"/>
              </w:rPr>
            </w:pPr>
          </w:p>
        </w:tc>
        <w:tc>
          <w:tcPr>
            <w:tcW w:w="1389" w:type="dxa"/>
            <w:vAlign w:val="center"/>
          </w:tcPr>
          <w:p>
            <w:pPr>
              <w:jc w:val="center"/>
              <w:rPr>
                <w:rFonts w:ascii="幼圆" w:hAnsi="Calibri" w:eastAsia="幼圆"/>
                <w:kern w:val="2"/>
                <w:sz w:val="21"/>
                <w:szCs w:val="21"/>
              </w:rPr>
            </w:pPr>
            <w:r>
              <w:rPr>
                <w:rFonts w:hint="eastAsia" w:ascii="幼圆" w:hAnsi="Calibri" w:eastAsia="幼圆"/>
                <w:kern w:val="2"/>
                <w:sz w:val="21"/>
                <w:szCs w:val="21"/>
              </w:rPr>
              <w:t>非小细胞肺癌10基因检测</w:t>
            </w:r>
          </w:p>
        </w:tc>
        <w:tc>
          <w:tcPr>
            <w:tcW w:w="1462" w:type="dxa"/>
            <w:vAlign w:val="center"/>
          </w:tcPr>
          <w:p>
            <w:pPr>
              <w:numPr>
                <w:ilvl w:val="0"/>
                <w:numId w:val="17"/>
              </w:numPr>
              <w:snapToGrid w:val="0"/>
              <w:spacing w:line="240" w:lineRule="exact"/>
              <w:rPr>
                <w:rFonts w:ascii="幼圆" w:hAnsi="宋体" w:eastAsia="幼圆"/>
                <w:sz w:val="21"/>
                <w:szCs w:val="21"/>
              </w:rPr>
            </w:pPr>
            <w:r>
              <w:rPr>
                <w:rFonts w:hint="eastAsia" w:ascii="幼圆" w:hAnsi="宋体" w:eastAsia="幼圆"/>
                <w:sz w:val="21"/>
                <w:szCs w:val="21"/>
              </w:rPr>
              <w:t>肿瘤石蜡切片组织</w:t>
            </w:r>
          </w:p>
          <w:p>
            <w:pPr>
              <w:jc w:val="center"/>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体外定性检测样本中 EGFR、 ALK、 ROS1、 RET、 MET、 HER2、 KRAS、 NRAS、BRAF、 PIK3CA 基因的变异位点。检测变异类型包括基因突变、融合、外显子跳跃突变。可实现肺癌一线靶向药物的全覆盖；可以为辅助诊断、用药指导、预后风险评估等提供临床参考。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both"/>
              <w:rPr>
                <w:rFonts w:ascii="幼圆" w:eastAsia="幼圆"/>
                <w:sz w:val="21"/>
                <w:szCs w:val="21"/>
              </w:rPr>
            </w:pPr>
          </w:p>
        </w:tc>
        <w:tc>
          <w:tcPr>
            <w:tcW w:w="1389" w:type="dxa"/>
            <w:vAlign w:val="center"/>
          </w:tcPr>
          <w:p>
            <w:pPr>
              <w:jc w:val="center"/>
              <w:rPr>
                <w:rFonts w:ascii="幼圆" w:hAnsi="Calibri" w:eastAsia="幼圆"/>
                <w:kern w:val="2"/>
                <w:sz w:val="21"/>
                <w:szCs w:val="21"/>
              </w:rPr>
            </w:pPr>
            <w:r>
              <w:rPr>
                <w:rFonts w:hint="eastAsia" w:ascii="幼圆" w:hAnsi="Calibri" w:eastAsia="幼圆"/>
                <w:kern w:val="2"/>
                <w:sz w:val="21"/>
                <w:szCs w:val="21"/>
              </w:rPr>
              <w:t>循环肿瘤细胞（CTC）检测</w:t>
            </w:r>
          </w:p>
        </w:tc>
        <w:tc>
          <w:tcPr>
            <w:tcW w:w="1462" w:type="dxa"/>
            <w:vAlign w:val="center"/>
          </w:tcPr>
          <w:p>
            <w:pPr>
              <w:numPr>
                <w:ilvl w:val="0"/>
                <w:numId w:val="18"/>
              </w:numPr>
              <w:snapToGrid w:val="0"/>
              <w:spacing w:line="240" w:lineRule="exact"/>
              <w:rPr>
                <w:rFonts w:ascii="幼圆" w:hAnsi="宋体" w:eastAsia="幼圆"/>
                <w:sz w:val="21"/>
                <w:szCs w:val="21"/>
              </w:rPr>
            </w:pPr>
            <w:r>
              <w:rPr>
                <w:rFonts w:hint="eastAsia" w:ascii="幼圆" w:hAnsi="宋体" w:eastAsia="幼圆"/>
                <w:sz w:val="21"/>
                <w:szCs w:val="21"/>
              </w:rPr>
              <w:t>外周血</w:t>
            </w:r>
          </w:p>
          <w:p>
            <w:pPr>
              <w:jc w:val="center"/>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对外周血循环稀有细胞进行分型、计数；同时对捕获的稀有细胞进行HER2、PD-L1、CSV进行检测，实时对肿瘤细胞动态监测，辅助临床对肿瘤复发与转移、疗效评估等。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both"/>
              <w:rPr>
                <w:rFonts w:ascii="幼圆" w:eastAsia="幼圆"/>
                <w:sz w:val="21"/>
                <w:szCs w:val="21"/>
              </w:rPr>
            </w:pPr>
          </w:p>
        </w:tc>
        <w:tc>
          <w:tcPr>
            <w:tcW w:w="1389" w:type="dxa"/>
            <w:vAlign w:val="center"/>
          </w:tcPr>
          <w:p>
            <w:pPr>
              <w:jc w:val="center"/>
              <w:rPr>
                <w:rFonts w:ascii="幼圆" w:hAnsi="Calibri" w:eastAsia="幼圆"/>
                <w:kern w:val="2"/>
                <w:sz w:val="21"/>
                <w:szCs w:val="21"/>
              </w:rPr>
            </w:pPr>
            <w:r>
              <w:rPr>
                <w:rFonts w:hint="eastAsia" w:ascii="幼圆" w:hAnsi="Calibri" w:eastAsia="幼圆"/>
                <w:kern w:val="2"/>
                <w:sz w:val="21"/>
                <w:szCs w:val="21"/>
              </w:rPr>
              <w:t>伏立康唑基因检测</w:t>
            </w:r>
          </w:p>
        </w:tc>
        <w:tc>
          <w:tcPr>
            <w:tcW w:w="1462" w:type="dxa"/>
            <w:vAlign w:val="center"/>
          </w:tcPr>
          <w:p>
            <w:pPr>
              <w:numPr>
                <w:ilvl w:val="0"/>
                <w:numId w:val="19"/>
              </w:numPr>
              <w:snapToGrid w:val="0"/>
              <w:spacing w:line="240" w:lineRule="exact"/>
              <w:rPr>
                <w:rFonts w:ascii="幼圆" w:hAnsi="宋体" w:eastAsia="幼圆"/>
                <w:sz w:val="21"/>
                <w:szCs w:val="21"/>
              </w:rPr>
            </w:pPr>
            <w:r>
              <w:rPr>
                <w:rFonts w:hint="eastAsia" w:ascii="幼圆" w:hAnsi="宋体" w:eastAsia="幼圆"/>
                <w:sz w:val="21"/>
                <w:szCs w:val="21"/>
              </w:rPr>
              <w:t>外周血</w:t>
            </w:r>
          </w:p>
          <w:p>
            <w:pPr>
              <w:numPr>
                <w:ilvl w:val="0"/>
                <w:numId w:val="19"/>
              </w:numPr>
              <w:snapToGrid w:val="0"/>
              <w:spacing w:line="240" w:lineRule="exact"/>
              <w:rPr>
                <w:rFonts w:ascii="幼圆" w:hAnsi="宋体" w:eastAsia="幼圆"/>
                <w:sz w:val="21"/>
                <w:szCs w:val="21"/>
              </w:rPr>
            </w:pPr>
            <w:r>
              <w:rPr>
                <w:rFonts w:hint="eastAsia" w:ascii="幼圆" w:hAnsi="宋体" w:eastAsia="幼圆"/>
                <w:sz w:val="21"/>
                <w:szCs w:val="21"/>
              </w:rPr>
              <w:t>口腔黏膜脱落细胞</w:t>
            </w:r>
          </w:p>
          <w:p>
            <w:pPr>
              <w:numPr>
                <w:ilvl w:val="0"/>
                <w:numId w:val="20"/>
              </w:num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覆盖CYP2C19*2、*3基因位点检测，预测伏立康唑不良反应，指导精准用药，可检测类型包括野生型GG、杂合性GA、突变型AA等。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center"/>
              <w:rPr>
                <w:rFonts w:ascii="幼圆" w:hAnsi="Calibri" w:eastAsia="幼圆"/>
                <w:kern w:val="2"/>
                <w:sz w:val="21"/>
                <w:szCs w:val="21"/>
              </w:rPr>
            </w:pPr>
            <w:r>
              <w:rPr>
                <w:rFonts w:hint="eastAsia" w:ascii="幼圆" w:hAnsi="Calibri" w:eastAsia="幼圆"/>
                <w:kern w:val="2"/>
                <w:sz w:val="21"/>
                <w:szCs w:val="21"/>
              </w:rPr>
              <w:t>非甾体抗炎药毒副反应基因检测</w:t>
            </w:r>
          </w:p>
        </w:tc>
        <w:tc>
          <w:tcPr>
            <w:tcW w:w="1462" w:type="dxa"/>
            <w:vAlign w:val="center"/>
          </w:tcPr>
          <w:p>
            <w:pPr>
              <w:numPr>
                <w:ilvl w:val="0"/>
                <w:numId w:val="21"/>
              </w:numPr>
              <w:snapToGrid w:val="0"/>
              <w:spacing w:line="240" w:lineRule="exact"/>
              <w:rPr>
                <w:rFonts w:ascii="幼圆" w:hAnsi="宋体" w:eastAsia="幼圆"/>
                <w:sz w:val="21"/>
                <w:szCs w:val="21"/>
              </w:rPr>
            </w:pPr>
            <w:r>
              <w:rPr>
                <w:rFonts w:hint="eastAsia" w:ascii="幼圆" w:hAnsi="宋体" w:eastAsia="幼圆"/>
                <w:sz w:val="21"/>
                <w:szCs w:val="21"/>
              </w:rPr>
              <w:t>外周血</w:t>
            </w:r>
          </w:p>
          <w:p>
            <w:pPr>
              <w:numPr>
                <w:ilvl w:val="0"/>
                <w:numId w:val="21"/>
              </w:numPr>
              <w:snapToGrid w:val="0"/>
              <w:spacing w:line="240" w:lineRule="exact"/>
              <w:rPr>
                <w:rFonts w:ascii="幼圆" w:hAnsi="宋体" w:eastAsia="幼圆"/>
                <w:sz w:val="21"/>
                <w:szCs w:val="21"/>
              </w:rPr>
            </w:pPr>
            <w:r>
              <w:rPr>
                <w:rFonts w:hint="eastAsia" w:ascii="幼圆" w:hAnsi="宋体" w:eastAsia="幼圆"/>
                <w:sz w:val="21"/>
                <w:szCs w:val="21"/>
              </w:rPr>
              <w:t>口腔黏膜脱落细胞</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覆盖CYP2C19基因位点检测，预测非甾体抗炎药不良反应，指导精准用药，可检测类型包括野生型GG、杂合性GA、突变型AA等。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洛沙坦、氯沙坦疗效基因检测</w:t>
            </w:r>
          </w:p>
        </w:tc>
        <w:tc>
          <w:tcPr>
            <w:tcW w:w="1462" w:type="dxa"/>
            <w:vAlign w:val="center"/>
          </w:tcPr>
          <w:p>
            <w:pPr>
              <w:numPr>
                <w:ilvl w:val="0"/>
                <w:numId w:val="22"/>
              </w:numPr>
              <w:snapToGrid w:val="0"/>
              <w:spacing w:line="240" w:lineRule="exact"/>
              <w:rPr>
                <w:rFonts w:ascii="幼圆" w:hAnsi="宋体" w:eastAsia="幼圆"/>
                <w:sz w:val="21"/>
                <w:szCs w:val="21"/>
              </w:rPr>
            </w:pPr>
            <w:r>
              <w:rPr>
                <w:rFonts w:hint="eastAsia" w:ascii="幼圆" w:hAnsi="宋体" w:eastAsia="幼圆"/>
                <w:sz w:val="21"/>
                <w:szCs w:val="21"/>
              </w:rPr>
              <w:t>外周血</w:t>
            </w:r>
          </w:p>
          <w:p>
            <w:pPr>
              <w:numPr>
                <w:ilvl w:val="0"/>
                <w:numId w:val="22"/>
              </w:numPr>
              <w:snapToGrid w:val="0"/>
              <w:spacing w:line="240" w:lineRule="exact"/>
              <w:rPr>
                <w:rFonts w:ascii="幼圆" w:hAnsi="宋体" w:eastAsia="幼圆"/>
                <w:sz w:val="21"/>
                <w:szCs w:val="21"/>
              </w:rPr>
            </w:pPr>
            <w:r>
              <w:rPr>
                <w:rFonts w:hint="eastAsia" w:ascii="幼圆" w:hAnsi="宋体" w:eastAsia="幼圆"/>
                <w:sz w:val="21"/>
                <w:szCs w:val="21"/>
              </w:rPr>
              <w:t>口腔黏膜脱落细胞</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覆盖CYP2C19基因位点检测，预测洛沙坦、氯沙坦疗效，指导精准用药，可检测类型包括野生型GG、杂合性GA、突变型AA等。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氯吡格雷疗效基因检测</w:t>
            </w:r>
          </w:p>
        </w:tc>
        <w:tc>
          <w:tcPr>
            <w:tcW w:w="1462" w:type="dxa"/>
            <w:vAlign w:val="center"/>
          </w:tcPr>
          <w:p>
            <w:pPr>
              <w:numPr>
                <w:ilvl w:val="0"/>
                <w:numId w:val="23"/>
              </w:numPr>
              <w:snapToGrid w:val="0"/>
              <w:spacing w:line="240" w:lineRule="exact"/>
              <w:rPr>
                <w:rFonts w:ascii="幼圆" w:hAnsi="宋体" w:eastAsia="幼圆"/>
                <w:sz w:val="21"/>
                <w:szCs w:val="21"/>
              </w:rPr>
            </w:pPr>
            <w:r>
              <w:rPr>
                <w:rFonts w:hint="eastAsia" w:ascii="幼圆" w:hAnsi="宋体" w:eastAsia="幼圆"/>
                <w:sz w:val="21"/>
                <w:szCs w:val="21"/>
              </w:rPr>
              <w:t>外周血</w:t>
            </w:r>
          </w:p>
          <w:p>
            <w:pPr>
              <w:numPr>
                <w:ilvl w:val="0"/>
                <w:numId w:val="23"/>
              </w:numPr>
              <w:snapToGrid w:val="0"/>
              <w:spacing w:line="240" w:lineRule="exact"/>
              <w:rPr>
                <w:rFonts w:ascii="幼圆" w:hAnsi="宋体" w:eastAsia="幼圆"/>
                <w:sz w:val="21"/>
                <w:szCs w:val="21"/>
              </w:rPr>
            </w:pPr>
            <w:r>
              <w:rPr>
                <w:rFonts w:hint="eastAsia" w:ascii="幼圆" w:hAnsi="宋体" w:eastAsia="幼圆"/>
                <w:sz w:val="21"/>
                <w:szCs w:val="21"/>
              </w:rPr>
              <w:t>口腔黏膜脱落细胞</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覆盖CYP2C19*2、*3基因位点检测，指导氯吡格雷抗血小板治疗，指导精准用药，可检测类型包括野生型GG、杂合性GA、突变型AA等。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人膀胱癌基因甲基化检测项目</w:t>
            </w:r>
          </w:p>
        </w:tc>
        <w:tc>
          <w:tcPr>
            <w:tcW w:w="1462" w:type="dxa"/>
            <w:vAlign w:val="center"/>
          </w:tcPr>
          <w:p>
            <w:pPr>
              <w:numPr>
                <w:ilvl w:val="0"/>
                <w:numId w:val="24"/>
              </w:numPr>
              <w:snapToGrid w:val="0"/>
              <w:spacing w:line="240" w:lineRule="exact"/>
              <w:rPr>
                <w:rFonts w:ascii="幼圆" w:hAnsi="宋体" w:eastAsia="幼圆"/>
                <w:sz w:val="21"/>
                <w:szCs w:val="21"/>
              </w:rPr>
            </w:pPr>
            <w:r>
              <w:rPr>
                <w:rFonts w:hint="eastAsia" w:ascii="幼圆" w:hAnsi="宋体" w:eastAsia="幼圆"/>
                <w:sz w:val="21"/>
                <w:szCs w:val="21"/>
              </w:rPr>
              <w:t>尿液</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有效检测特异性、高敏感度DNA甲基化位点，辅助临床诊断，整体准确性大于85%。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人SHOX2、RASSF1A基因甲基化DNA检测</w:t>
            </w:r>
          </w:p>
        </w:tc>
        <w:tc>
          <w:tcPr>
            <w:tcW w:w="1462" w:type="dxa"/>
            <w:vAlign w:val="center"/>
          </w:tcPr>
          <w:p>
            <w:pPr>
              <w:numPr>
                <w:ilvl w:val="0"/>
                <w:numId w:val="25"/>
              </w:numPr>
              <w:snapToGrid w:val="0"/>
              <w:spacing w:line="240" w:lineRule="exact"/>
              <w:rPr>
                <w:rFonts w:ascii="幼圆" w:hAnsi="宋体" w:eastAsia="幼圆"/>
                <w:sz w:val="21"/>
                <w:szCs w:val="21"/>
              </w:rPr>
            </w:pPr>
            <w:r>
              <w:rPr>
                <w:rFonts w:hint="eastAsia" w:ascii="幼圆" w:hAnsi="宋体" w:eastAsia="幼圆"/>
                <w:sz w:val="21"/>
                <w:szCs w:val="21"/>
              </w:rPr>
              <w:t>脱落细胞DNA-肺泡灌洗液</w:t>
            </w:r>
          </w:p>
          <w:p>
            <w:pPr>
              <w:numPr>
                <w:ilvl w:val="0"/>
                <w:numId w:val="25"/>
              </w:numPr>
              <w:snapToGrid w:val="0"/>
              <w:spacing w:line="240" w:lineRule="exact"/>
              <w:rPr>
                <w:rFonts w:ascii="幼圆" w:hAnsi="宋体" w:eastAsia="幼圆"/>
                <w:sz w:val="21"/>
                <w:szCs w:val="21"/>
              </w:rPr>
            </w:pPr>
            <w:r>
              <w:rPr>
                <w:rFonts w:hint="eastAsia" w:ascii="幼圆" w:hAnsi="宋体" w:eastAsia="幼圆"/>
                <w:sz w:val="21"/>
                <w:szCs w:val="21"/>
              </w:rPr>
              <w:t>痰液</w:t>
            </w:r>
          </w:p>
          <w:p>
            <w:pPr>
              <w:numPr>
                <w:ilvl w:val="0"/>
                <w:numId w:val="25"/>
              </w:numPr>
              <w:snapToGrid w:val="0"/>
              <w:spacing w:line="240" w:lineRule="exact"/>
              <w:rPr>
                <w:rFonts w:ascii="幼圆" w:hAnsi="宋体" w:eastAsia="幼圆"/>
                <w:sz w:val="21"/>
                <w:szCs w:val="21"/>
              </w:rPr>
            </w:pPr>
            <w:r>
              <w:rPr>
                <w:rFonts w:hint="eastAsia" w:ascii="幼圆" w:hAnsi="宋体" w:eastAsia="幼圆"/>
                <w:sz w:val="21"/>
                <w:szCs w:val="21"/>
              </w:rPr>
              <w:t>胸水</w:t>
            </w:r>
          </w:p>
          <w:p>
            <w:pPr>
              <w:snapToGrid w:val="0"/>
              <w:spacing w:line="240" w:lineRule="exact"/>
              <w:rPr>
                <w:rFonts w:ascii="幼圆" w:hAnsi="Calibri" w:eastAsia="幼圆"/>
                <w:kern w:val="2"/>
                <w:sz w:val="21"/>
                <w:szCs w:val="21"/>
              </w:rPr>
            </w:pPr>
            <w:r>
              <w:rPr>
                <w:rFonts w:hint="eastAsia" w:ascii="幼圆" w:hAnsi="宋体" w:eastAsia="幼圆"/>
                <w:sz w:val="21"/>
                <w:szCs w:val="21"/>
              </w:rPr>
              <w:t>穿刺样本等</w:t>
            </w: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有效检测特异性、高敏感度DNA甲基化位点，辅助临床诊断，检测敏感性不低于70%，特异性不低于90%。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脂溶性维生素测定</w:t>
            </w:r>
          </w:p>
        </w:tc>
        <w:tc>
          <w:tcPr>
            <w:tcW w:w="1462" w:type="dxa"/>
            <w:vAlign w:val="center"/>
          </w:tcPr>
          <w:p>
            <w:pPr>
              <w:numPr>
                <w:ilvl w:val="0"/>
                <w:numId w:val="26"/>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对脂溶性维生素（25-羟基维生素D2、25-羟基维生素D3、25-羟基维生素D、维生素E、维生素A、维生素K1）检测，量化脂溶性维生素类营养元素代谢水平。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水溶性维生素测定</w:t>
            </w:r>
          </w:p>
        </w:tc>
        <w:tc>
          <w:tcPr>
            <w:tcW w:w="1462" w:type="dxa"/>
            <w:vAlign w:val="center"/>
          </w:tcPr>
          <w:p>
            <w:pPr>
              <w:numPr>
                <w:ilvl w:val="0"/>
                <w:numId w:val="27"/>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对水溶性维生素（维生素B1、维生素B2、维生素B3、维生素B5、维生素B6、维生素B7、维生素B9、维生素B12和维生素C）检测，量化水溶性维生素类营养元素代谢水平。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抗菌类药物检测</w:t>
            </w:r>
          </w:p>
        </w:tc>
        <w:tc>
          <w:tcPr>
            <w:tcW w:w="1462" w:type="dxa"/>
            <w:vAlign w:val="center"/>
          </w:tcPr>
          <w:p>
            <w:pPr>
              <w:numPr>
                <w:ilvl w:val="0"/>
                <w:numId w:val="28"/>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菌类药物（包括万古霉素、伏立康唑、美罗培南、替考拉宁、去甲万古、亚胺培南、替加环素、利奈唑胺、伊曲康唑、阿米卡星、庆大霉素等）的疗效预测、计量预测、药物毒性及不良反应监测，以及代谢/药代动力学（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抗病毒药物检测</w:t>
            </w:r>
          </w:p>
        </w:tc>
        <w:tc>
          <w:tcPr>
            <w:tcW w:w="1462" w:type="dxa"/>
            <w:vAlign w:val="center"/>
          </w:tcPr>
          <w:p>
            <w:pPr>
              <w:numPr>
                <w:ilvl w:val="0"/>
                <w:numId w:val="29"/>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对抗病毒药物（包括拉米夫定、奈韦拉平、依非韦伦、替诺福韦）的疗效预测、计量预测、药物毒性及不良反应监测，以及代谢/药代动力学（PK)。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抗心律失常药检测</w:t>
            </w:r>
          </w:p>
        </w:tc>
        <w:tc>
          <w:tcPr>
            <w:tcW w:w="1462" w:type="dxa"/>
            <w:vAlign w:val="center"/>
          </w:tcPr>
          <w:p>
            <w:pPr>
              <w:numPr>
                <w:ilvl w:val="0"/>
                <w:numId w:val="30"/>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对抗心律失常药（包括地高辛、华法林、胺碘酮）的疗效预测和计量预测。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抗肿瘤药物检测</w:t>
            </w:r>
          </w:p>
        </w:tc>
        <w:tc>
          <w:tcPr>
            <w:tcW w:w="1462" w:type="dxa"/>
            <w:vAlign w:val="center"/>
          </w:tcPr>
          <w:p>
            <w:pPr>
              <w:numPr>
                <w:ilvl w:val="0"/>
                <w:numId w:val="31"/>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对抗肿瘤药物（包括甲氨蝶呤、多西他赛、伊马替尼、5-氟尿嘧啶、紫杉醇、奥沙利铂）的疗效预测、计量预测、药物毒性及不良反应监测。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抗癫痫类药物检测</w:t>
            </w:r>
          </w:p>
        </w:tc>
        <w:tc>
          <w:tcPr>
            <w:tcW w:w="1462" w:type="dxa"/>
            <w:vAlign w:val="center"/>
          </w:tcPr>
          <w:p>
            <w:pPr>
              <w:numPr>
                <w:ilvl w:val="0"/>
                <w:numId w:val="32"/>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对抗癫痫类药物（包括卡马西平/环氧卡马西平、拉莫三嗪、奥卡西平/10-羟基卡马西平、苯妥英、左乙拉西坦、苯巴比妥、扑米酮、托吡酯、丙戊酸等）的疗效预测、计量预测、药物毒性及不良反应监测。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抗精神分裂类药物检测</w:t>
            </w:r>
          </w:p>
        </w:tc>
        <w:tc>
          <w:tcPr>
            <w:tcW w:w="1462" w:type="dxa"/>
            <w:vAlign w:val="center"/>
          </w:tcPr>
          <w:p>
            <w:pPr>
              <w:numPr>
                <w:ilvl w:val="0"/>
                <w:numId w:val="33"/>
              </w:numPr>
              <w:snapToGrid w:val="0"/>
              <w:spacing w:line="240" w:lineRule="exact"/>
              <w:rPr>
                <w:rFonts w:ascii="幼圆" w:hAnsi="宋体" w:eastAsia="幼圆"/>
                <w:sz w:val="21"/>
                <w:szCs w:val="21"/>
              </w:rPr>
            </w:pPr>
            <w:r>
              <w:rPr>
                <w:rFonts w:hint="eastAsia" w:ascii="幼圆" w:hAnsi="宋体" w:eastAsia="幼圆"/>
                <w:sz w:val="21"/>
                <w:szCs w:val="21"/>
              </w:rPr>
              <w:t>血清</w:t>
            </w:r>
          </w:p>
          <w:p>
            <w:pPr>
              <w:numPr>
                <w:ilvl w:val="0"/>
                <w:numId w:val="25"/>
              </w:num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抗精神分裂类药物（包括氨磺必利、阿立哌唑/脱氢阿立哌唑、氟奋乃静、奋乃静、氯氮平N-去甲氯氮平、氟哌啶醇/还原氟哌啶醇、奥氮平N-去甲奥氮平、硫利达嗪、氯丙嗪、氟哌噻吨、喹硫平/去甲喹硫平、利培酮/9-羟基利培酮、舒必利、齐拉西酮、氯普噻吨、洛沙平、鲁拉西酮等）的疗效预测、计量预测、药物毒性及不良反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阿司匹林疗效检测</w:t>
            </w:r>
          </w:p>
        </w:tc>
        <w:tc>
          <w:tcPr>
            <w:tcW w:w="1462" w:type="dxa"/>
            <w:vAlign w:val="center"/>
          </w:tcPr>
          <w:p>
            <w:pPr>
              <w:numPr>
                <w:ilvl w:val="0"/>
                <w:numId w:val="34"/>
              </w:numPr>
              <w:snapToGrid w:val="0"/>
              <w:spacing w:line="240" w:lineRule="exact"/>
              <w:rPr>
                <w:rFonts w:ascii="幼圆" w:hAnsi="宋体" w:eastAsia="幼圆"/>
                <w:sz w:val="21"/>
                <w:szCs w:val="21"/>
              </w:rPr>
            </w:pPr>
            <w:r>
              <w:rPr>
                <w:rFonts w:hint="eastAsia" w:ascii="幼圆" w:hAnsi="宋体" w:eastAsia="幼圆"/>
                <w:sz w:val="21"/>
                <w:szCs w:val="21"/>
              </w:rPr>
              <w:t>尿液</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对尿液检测血栓烷代谢产物，用于评估阿司匹林疗效，预测不良心血管事件结局，调整治疗方案降低严重血管事件的发作。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幼圆" w:hAnsi="Calibri" w:eastAsia="幼圆"/>
                <w:kern w:val="2"/>
                <w:sz w:val="21"/>
                <w:szCs w:val="21"/>
              </w:rPr>
              <w:t>生长刺激表达基因2蛋白定量检测</w:t>
            </w:r>
          </w:p>
        </w:tc>
        <w:tc>
          <w:tcPr>
            <w:tcW w:w="1462" w:type="dxa"/>
            <w:vAlign w:val="center"/>
          </w:tcPr>
          <w:p>
            <w:pPr>
              <w:numPr>
                <w:ilvl w:val="0"/>
                <w:numId w:val="35"/>
              </w:numPr>
              <w:snapToGrid w:val="0"/>
              <w:spacing w:line="240" w:lineRule="exact"/>
              <w:rPr>
                <w:rFonts w:ascii="幼圆" w:hAnsi="宋体" w:eastAsia="幼圆"/>
                <w:sz w:val="21"/>
                <w:szCs w:val="21"/>
              </w:rPr>
            </w:pPr>
            <w:r>
              <w:rPr>
                <w:rFonts w:hint="eastAsia" w:ascii="幼圆" w:hAnsi="宋体" w:eastAsia="幼圆"/>
                <w:sz w:val="21"/>
                <w:szCs w:val="21"/>
              </w:rPr>
              <w:t>血清</w:t>
            </w:r>
          </w:p>
          <w:p>
            <w:pPr>
              <w:snapToGrid w:val="0"/>
              <w:spacing w:line="240" w:lineRule="exact"/>
              <w:rPr>
                <w:rFonts w:ascii="幼圆" w:hAnsi="Calibri" w:eastAsia="幼圆"/>
                <w:kern w:val="2"/>
                <w:sz w:val="21"/>
                <w:szCs w:val="21"/>
              </w:rPr>
            </w:pPr>
          </w:p>
        </w:tc>
        <w:tc>
          <w:tcPr>
            <w:tcW w:w="6251" w:type="dxa"/>
            <w:vAlign w:val="center"/>
          </w:tcPr>
          <w:p>
            <w:pPr>
              <w:widowControl/>
              <w:rPr>
                <w:rFonts w:ascii="幼圆" w:hAnsi="宋体" w:eastAsia="幼圆"/>
                <w:kern w:val="2"/>
                <w:sz w:val="21"/>
                <w:szCs w:val="21"/>
              </w:rPr>
            </w:pPr>
            <w:r>
              <w:rPr>
                <w:rFonts w:hint="eastAsia" w:ascii="幼圆" w:hAnsi="宋体" w:eastAsia="幼圆"/>
                <w:kern w:val="2"/>
                <w:sz w:val="21"/>
                <w:szCs w:val="21"/>
              </w:rPr>
              <w:t>对可溶性生长刺激表态基因2蛋白（sST2）检测，用于急性心衰的辅助诊断、慢性心衰的治疗效果评估以及预后评估。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hAnsi="宋体"/>
              </w:rPr>
              <w:t>男性不育基因检测</w:t>
            </w:r>
          </w:p>
        </w:tc>
        <w:tc>
          <w:tcPr>
            <w:tcW w:w="1462" w:type="dxa"/>
            <w:vAlign w:val="center"/>
          </w:tcPr>
          <w:p>
            <w:pPr>
              <w:snapToGrid w:val="0"/>
              <w:spacing w:line="240" w:lineRule="exact"/>
              <w:rPr>
                <w:rFonts w:ascii="幼圆" w:hAnsi="Calibri" w:eastAsia="幼圆"/>
                <w:kern w:val="2"/>
                <w:sz w:val="21"/>
                <w:szCs w:val="21"/>
              </w:rPr>
            </w:pPr>
            <w:r>
              <w:rPr>
                <w:rFonts w:hint="eastAsia" w:hAnsi="宋体"/>
              </w:rPr>
              <w:t>外周血</w:t>
            </w:r>
          </w:p>
        </w:tc>
        <w:tc>
          <w:tcPr>
            <w:tcW w:w="6251" w:type="dxa"/>
            <w:vAlign w:val="center"/>
          </w:tcPr>
          <w:p>
            <w:pPr>
              <w:pStyle w:val="9"/>
              <w:numPr>
                <w:ilvl w:val="0"/>
                <w:numId w:val="36"/>
              </w:numPr>
              <w:autoSpaceDE/>
              <w:autoSpaceDN/>
              <w:adjustRightInd/>
              <w:ind w:firstLineChars="0"/>
              <w:jc w:val="both"/>
              <w:rPr>
                <w:rFonts w:hAnsi="宋体"/>
                <w:sz w:val="21"/>
                <w:szCs w:val="21"/>
              </w:rPr>
            </w:pPr>
            <w:r>
              <w:rPr>
                <w:rFonts w:hint="eastAsia" w:hAnsi="宋体"/>
                <w:sz w:val="21"/>
                <w:szCs w:val="21"/>
              </w:rPr>
              <w:t>采用目标区域靶向捕获技术和高通量测序技术，检测≥</w:t>
            </w:r>
            <w:r>
              <w:rPr>
                <w:rFonts w:hAnsi="宋体"/>
                <w:sz w:val="21"/>
                <w:szCs w:val="21"/>
              </w:rPr>
              <w:t>290个男性不育基因；平均测序深度≥1000X，有效测序深度≥600X，&gt;99.9%的目标区域测序深度≥30X，捕获数据均一性高；</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检测类型包含针对单核苷酸变异（</w:t>
            </w:r>
            <w:r>
              <w:rPr>
                <w:rFonts w:hAnsi="宋体"/>
                <w:sz w:val="21"/>
                <w:szCs w:val="21"/>
              </w:rPr>
              <w:t>SNV），插入缺失（indel≤50bp）,内含子±10bp区域变异，大片段的CNV及外显子水平的CNV；检测10%以上的嵌合（低至5%Y染色体的嵌合）；包含明确致病的非编码区域（如SOX9上游启动子区域等）；</w:t>
            </w:r>
          </w:p>
          <w:p>
            <w:pPr>
              <w:pStyle w:val="9"/>
              <w:numPr>
                <w:ilvl w:val="0"/>
                <w:numId w:val="36"/>
              </w:numPr>
              <w:autoSpaceDE/>
              <w:autoSpaceDN/>
              <w:adjustRightInd/>
              <w:ind w:firstLineChars="0"/>
              <w:jc w:val="both"/>
              <w:rPr>
                <w:rFonts w:hAnsi="宋体"/>
                <w:sz w:val="21"/>
                <w:szCs w:val="21"/>
              </w:rPr>
            </w:pPr>
            <w:r>
              <w:rPr>
                <w:rFonts w:hAnsi="宋体"/>
                <w:sz w:val="21"/>
                <w:szCs w:val="21"/>
              </w:rPr>
              <w:t>Y染色体AZFa/b/c区域设置≥1000条探针；完整覆盖15点法的STS区域；可区分局部缺失及完全缺失，同时可提示缺失片段大小；</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对于</w:t>
            </w:r>
            <w:r>
              <w:rPr>
                <w:rFonts w:hAnsi="宋体"/>
                <w:sz w:val="21"/>
                <w:szCs w:val="21"/>
              </w:rPr>
              <w:t>panel中具有相似度高同源区域的基因，供应商能提供基于专利技术进行有针对性的一代测序位点验证解决方案，有效排除同源区域干扰，且该专利技术有相应SCI文献报道（Nat Biomed Eng，IF&gt;25）；</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检测项目包含多囊肾表型</w:t>
            </w:r>
            <w:r>
              <w:rPr>
                <w:rFonts w:hAnsi="宋体"/>
                <w:sz w:val="21"/>
                <w:szCs w:val="21"/>
              </w:rPr>
              <w:t>7个相关的基因，同时兼顾</w:t>
            </w:r>
            <w:r>
              <w:rPr>
                <w:rFonts w:hAnsi="宋体"/>
                <w:i/>
                <w:iCs/>
                <w:sz w:val="21"/>
                <w:szCs w:val="21"/>
              </w:rPr>
              <w:t>PKD1</w:t>
            </w:r>
            <w:r>
              <w:rPr>
                <w:rFonts w:hAnsi="宋体"/>
                <w:sz w:val="21"/>
                <w:szCs w:val="21"/>
              </w:rPr>
              <w:t>假基因的鉴别；对于检测阳性结果可提供优于long-PCR的专利验证方案</w:t>
            </w:r>
            <w:r>
              <w:rPr>
                <w:rFonts w:hint="eastAsia" w:hAnsi="宋体"/>
                <w:sz w:val="21"/>
                <w:szCs w:val="21"/>
              </w:rPr>
              <w:t>。</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针对</w:t>
            </w:r>
            <w:r>
              <w:rPr>
                <w:rFonts w:hAnsi="宋体"/>
                <w:i/>
                <w:iCs/>
                <w:sz w:val="21"/>
                <w:szCs w:val="21"/>
              </w:rPr>
              <w:t>CFTR</w:t>
            </w:r>
            <w:r>
              <w:rPr>
                <w:rFonts w:hAnsi="宋体"/>
                <w:sz w:val="21"/>
                <w:szCs w:val="21"/>
              </w:rPr>
              <w:t>基因全长进行探针覆盖，包括深度内含子和非编码区域覆盖；</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针对项目检出的疑似生殖腺嵌合（</w:t>
            </w:r>
            <w:r>
              <w:rPr>
                <w:rFonts w:hAnsi="宋体"/>
                <w:sz w:val="21"/>
                <w:szCs w:val="21"/>
              </w:rPr>
              <w:t>SNV、indel和有明确断点的CNV），能提供基于专利技术解决方案，样本通过PCR +sanger的方法进行验证，可报出百分之一以上生殖腺嵌合；</w:t>
            </w:r>
            <w:r>
              <w:rPr>
                <w:rFonts w:hint="eastAsia" w:hAnsi="宋体"/>
                <w:sz w:val="21"/>
                <w:szCs w:val="21"/>
              </w:rPr>
              <w:t>采用目标区域靶向捕获技术和高通量测序技术，检测≥</w:t>
            </w:r>
            <w:r>
              <w:rPr>
                <w:rFonts w:hAnsi="宋体"/>
                <w:sz w:val="21"/>
                <w:szCs w:val="21"/>
              </w:rPr>
              <w:t>290个男性不育基因；平均测序深度≥1000X，有效测序深度≥600X，&gt;99.9%的目标区域测序深度≥30X，捕获数据均一性高；</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检测类型包含针对单核苷酸变异（</w:t>
            </w:r>
            <w:r>
              <w:rPr>
                <w:rFonts w:hAnsi="宋体"/>
                <w:sz w:val="21"/>
                <w:szCs w:val="21"/>
              </w:rPr>
              <w:t>SNV），插入缺失（indel≤50bp）,内含子±10bp区域变异，大片段的CNV及外显子水平的CNV；检测10%以上的嵌合（低至5%Y染色体的嵌合）；包含明确致病的非编码区域（如SOX9上游启动子区域等）；</w:t>
            </w:r>
          </w:p>
          <w:p>
            <w:pPr>
              <w:pStyle w:val="9"/>
              <w:numPr>
                <w:ilvl w:val="0"/>
                <w:numId w:val="36"/>
              </w:numPr>
              <w:autoSpaceDE/>
              <w:autoSpaceDN/>
              <w:adjustRightInd/>
              <w:ind w:firstLineChars="0"/>
              <w:jc w:val="both"/>
              <w:rPr>
                <w:rFonts w:hAnsi="宋体"/>
                <w:sz w:val="21"/>
                <w:szCs w:val="21"/>
              </w:rPr>
            </w:pPr>
            <w:r>
              <w:rPr>
                <w:rFonts w:hAnsi="宋体"/>
                <w:sz w:val="21"/>
                <w:szCs w:val="21"/>
              </w:rPr>
              <w:t>Y染色体AZFa/b/c区域设置≥1000条探针；完整覆盖15点法的STS区域；可区分局部缺失及完全缺失，同时可提示缺失片段大小；</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对于</w:t>
            </w:r>
            <w:r>
              <w:rPr>
                <w:rFonts w:hAnsi="宋体"/>
                <w:sz w:val="21"/>
                <w:szCs w:val="21"/>
              </w:rPr>
              <w:t>panel中具有相似度高同源区域的基因，供应商能提供基于专利技术进行有针对性的一代测序位点验证解决方案，有效排除同源区域干扰，且该专利技术有相应SCI文献报道（Nat Biomed Eng，IF&gt;25）；</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检测项目包含多囊肾表型</w:t>
            </w:r>
            <w:r>
              <w:rPr>
                <w:rFonts w:hAnsi="宋体"/>
                <w:sz w:val="21"/>
                <w:szCs w:val="21"/>
              </w:rPr>
              <w:t>7个相关的基因，同时兼顾</w:t>
            </w:r>
            <w:r>
              <w:rPr>
                <w:rFonts w:hAnsi="宋体"/>
                <w:i/>
                <w:iCs/>
                <w:sz w:val="21"/>
                <w:szCs w:val="21"/>
              </w:rPr>
              <w:t>PKD1</w:t>
            </w:r>
            <w:r>
              <w:rPr>
                <w:rFonts w:hAnsi="宋体"/>
                <w:sz w:val="21"/>
                <w:szCs w:val="21"/>
              </w:rPr>
              <w:t>假基因的鉴别；对于检测阳性结果可提供优于long-PCR的专利验证方案</w:t>
            </w:r>
            <w:r>
              <w:rPr>
                <w:rFonts w:hint="eastAsia" w:hAnsi="宋体"/>
                <w:sz w:val="21"/>
                <w:szCs w:val="21"/>
              </w:rPr>
              <w:t>。</w:t>
            </w:r>
          </w:p>
          <w:p>
            <w:pPr>
              <w:pStyle w:val="9"/>
              <w:numPr>
                <w:ilvl w:val="0"/>
                <w:numId w:val="36"/>
              </w:numPr>
              <w:autoSpaceDE/>
              <w:autoSpaceDN/>
              <w:adjustRightInd/>
              <w:ind w:firstLineChars="0"/>
              <w:jc w:val="both"/>
              <w:rPr>
                <w:rFonts w:hAnsi="宋体"/>
                <w:sz w:val="21"/>
                <w:szCs w:val="21"/>
              </w:rPr>
            </w:pPr>
            <w:r>
              <w:rPr>
                <w:rFonts w:hint="eastAsia" w:hAnsi="宋体"/>
                <w:sz w:val="21"/>
                <w:szCs w:val="21"/>
              </w:rPr>
              <w:t>针对</w:t>
            </w:r>
            <w:r>
              <w:rPr>
                <w:rFonts w:hAnsi="宋体"/>
                <w:i/>
                <w:iCs/>
                <w:sz w:val="21"/>
                <w:szCs w:val="21"/>
              </w:rPr>
              <w:t>CFTR</w:t>
            </w:r>
            <w:r>
              <w:rPr>
                <w:rFonts w:hAnsi="宋体"/>
                <w:sz w:val="21"/>
                <w:szCs w:val="21"/>
              </w:rPr>
              <w:t>基因全长进行探针覆盖，包括深度内含子和非编码区域覆盖；</w:t>
            </w:r>
          </w:p>
          <w:p>
            <w:pPr>
              <w:widowControl/>
              <w:rPr>
                <w:rFonts w:ascii="幼圆" w:hAnsi="宋体" w:eastAsia="幼圆"/>
                <w:kern w:val="2"/>
                <w:sz w:val="21"/>
                <w:szCs w:val="21"/>
              </w:rPr>
            </w:pPr>
            <w:r>
              <w:rPr>
                <w:rFonts w:hint="eastAsia" w:hAnsi="宋体"/>
                <w:sz w:val="21"/>
                <w:szCs w:val="21"/>
              </w:rPr>
              <w:t>针对项目检出的疑似生殖腺嵌合（</w:t>
            </w:r>
            <w:r>
              <w:rPr>
                <w:rFonts w:hAnsi="宋体"/>
                <w:sz w:val="21"/>
                <w:szCs w:val="21"/>
              </w:rPr>
              <w:t>SNV、indel和有明确断点的CNV），能提供基于专利技术解决方案，样本通过PCR +sanger的方法进行验证，可报出百分之一以上生殖腺嵌合；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ascii="微软雅黑" w:hAnsi="微软雅黑" w:eastAsia="微软雅黑" w:cs="微软雅黑"/>
              </w:rPr>
              <w:t>⼥</w:t>
            </w:r>
            <w:r>
              <w:rPr>
                <w:rFonts w:hint="eastAsia" w:hAnsi="宋体" w:cs="宋体"/>
              </w:rPr>
              <w:t>性不孕基因检</w:t>
            </w:r>
            <w:r>
              <w:rPr>
                <w:rFonts w:hint="eastAsia" w:hAnsi="宋体"/>
              </w:rPr>
              <w:t>测</w:t>
            </w:r>
          </w:p>
        </w:tc>
        <w:tc>
          <w:tcPr>
            <w:tcW w:w="1462" w:type="dxa"/>
            <w:vAlign w:val="center"/>
          </w:tcPr>
          <w:p>
            <w:pPr>
              <w:snapToGrid w:val="0"/>
              <w:spacing w:line="240" w:lineRule="exact"/>
              <w:rPr>
                <w:rFonts w:ascii="幼圆" w:hAnsi="Calibri" w:eastAsia="幼圆"/>
                <w:kern w:val="2"/>
                <w:sz w:val="21"/>
                <w:szCs w:val="21"/>
              </w:rPr>
            </w:pPr>
            <w:r>
              <w:rPr>
                <w:rFonts w:hint="eastAsia" w:hAnsi="宋体"/>
              </w:rPr>
              <w:t>外周血</w:t>
            </w:r>
          </w:p>
        </w:tc>
        <w:tc>
          <w:tcPr>
            <w:tcW w:w="6251" w:type="dxa"/>
            <w:vAlign w:val="center"/>
          </w:tcPr>
          <w:p>
            <w:pPr>
              <w:pStyle w:val="9"/>
              <w:numPr>
                <w:ilvl w:val="0"/>
                <w:numId w:val="37"/>
              </w:numPr>
              <w:autoSpaceDE/>
              <w:autoSpaceDN/>
              <w:adjustRightInd/>
              <w:ind w:firstLineChars="0"/>
              <w:jc w:val="both"/>
              <w:rPr>
                <w:rFonts w:hAnsi="宋体"/>
                <w:sz w:val="21"/>
                <w:szCs w:val="21"/>
              </w:rPr>
            </w:pPr>
            <w:r>
              <w:rPr>
                <w:rFonts w:hint="eastAsia" w:hAnsi="宋体"/>
                <w:sz w:val="21"/>
                <w:szCs w:val="21"/>
              </w:rPr>
              <w:t>采用目标区域靶向捕获技术和高通量测序技术，检测≥</w:t>
            </w:r>
            <w:r>
              <w:rPr>
                <w:rFonts w:hAnsi="宋体"/>
                <w:sz w:val="21"/>
                <w:szCs w:val="21"/>
              </w:rPr>
              <w:t>144个女性不孕基因，同时包含叶酸代谢的检测和易栓症检测</w:t>
            </w:r>
            <w:r>
              <w:rPr>
                <w:rFonts w:hint="eastAsia" w:hAnsi="宋体"/>
                <w:sz w:val="21"/>
                <w:szCs w:val="21"/>
              </w:rPr>
              <w:t>；</w:t>
            </w:r>
          </w:p>
          <w:p>
            <w:pPr>
              <w:pStyle w:val="9"/>
              <w:numPr>
                <w:ilvl w:val="0"/>
                <w:numId w:val="37"/>
              </w:numPr>
              <w:autoSpaceDE/>
              <w:autoSpaceDN/>
              <w:adjustRightInd/>
              <w:ind w:firstLineChars="0"/>
              <w:jc w:val="both"/>
              <w:rPr>
                <w:rFonts w:hAnsi="宋体"/>
                <w:sz w:val="21"/>
                <w:szCs w:val="21"/>
              </w:rPr>
            </w:pPr>
            <w:r>
              <w:rPr>
                <w:rFonts w:hint="eastAsia" w:hAnsi="宋体"/>
                <w:sz w:val="21"/>
                <w:szCs w:val="21"/>
              </w:rPr>
              <w:t>平均测序深度≥</w:t>
            </w:r>
            <w:r>
              <w:rPr>
                <w:rFonts w:hAnsi="宋体"/>
                <w:sz w:val="21"/>
                <w:szCs w:val="21"/>
              </w:rPr>
              <w:t>1000X，有效测序深度≥600X，</w:t>
            </w:r>
            <w:r>
              <w:rPr>
                <w:rFonts w:hint="eastAsia" w:hAnsi="宋体"/>
                <w:sz w:val="21"/>
                <w:szCs w:val="21"/>
              </w:rPr>
              <w:t>＞</w:t>
            </w:r>
            <w:r>
              <w:rPr>
                <w:rFonts w:hAnsi="宋体"/>
                <w:sz w:val="21"/>
                <w:szCs w:val="21"/>
              </w:rPr>
              <w:t>99.9%的目标区域测序深度≥30X，捕获数据均一性高；</w:t>
            </w:r>
          </w:p>
          <w:p>
            <w:pPr>
              <w:pStyle w:val="9"/>
              <w:numPr>
                <w:ilvl w:val="0"/>
                <w:numId w:val="37"/>
              </w:numPr>
              <w:autoSpaceDE/>
              <w:autoSpaceDN/>
              <w:adjustRightInd/>
              <w:ind w:firstLineChars="0"/>
              <w:jc w:val="both"/>
              <w:rPr>
                <w:rFonts w:hAnsi="宋体"/>
                <w:sz w:val="21"/>
                <w:szCs w:val="21"/>
              </w:rPr>
            </w:pPr>
            <w:r>
              <w:rPr>
                <w:rFonts w:hint="eastAsia" w:hAnsi="宋体"/>
                <w:sz w:val="21"/>
                <w:szCs w:val="21"/>
              </w:rPr>
              <w:t>检测类型包含针对点突变（</w:t>
            </w:r>
            <w:r>
              <w:rPr>
                <w:rFonts w:hAnsi="宋体"/>
                <w:sz w:val="21"/>
                <w:szCs w:val="21"/>
              </w:rPr>
              <w:t>SNV），插入缺失（indel≤50bp）,内含子±10bp区域变异，大片段的CNV及外显子水平的CNV；可检测10%以上的嵌合；包含明确致病的非编码区域（如</w:t>
            </w:r>
            <w:r>
              <w:rPr>
                <w:rFonts w:hAnsi="宋体"/>
                <w:i/>
                <w:iCs/>
                <w:sz w:val="21"/>
                <w:szCs w:val="21"/>
              </w:rPr>
              <w:t>SOX9</w:t>
            </w:r>
            <w:r>
              <w:rPr>
                <w:rFonts w:hAnsi="宋体"/>
                <w:sz w:val="21"/>
                <w:szCs w:val="21"/>
              </w:rPr>
              <w:t>上游启动子区域）</w:t>
            </w:r>
            <w:r>
              <w:rPr>
                <w:rFonts w:hint="eastAsia" w:hAnsi="宋体"/>
                <w:sz w:val="21"/>
                <w:szCs w:val="21"/>
              </w:rPr>
              <w:t>；</w:t>
            </w:r>
          </w:p>
          <w:p>
            <w:pPr>
              <w:pStyle w:val="9"/>
              <w:numPr>
                <w:ilvl w:val="0"/>
                <w:numId w:val="37"/>
              </w:numPr>
              <w:autoSpaceDE/>
              <w:autoSpaceDN/>
              <w:adjustRightInd/>
              <w:ind w:firstLineChars="0"/>
              <w:jc w:val="both"/>
              <w:rPr>
                <w:rFonts w:hAnsi="宋体"/>
                <w:sz w:val="21"/>
                <w:szCs w:val="21"/>
              </w:rPr>
            </w:pPr>
            <w:r>
              <w:rPr>
                <w:rFonts w:hint="eastAsia" w:hAnsi="宋体"/>
                <w:sz w:val="21"/>
                <w:szCs w:val="21"/>
              </w:rPr>
              <w:t>针对</w:t>
            </w:r>
            <w:r>
              <w:rPr>
                <w:rFonts w:hAnsi="宋体"/>
                <w:i/>
                <w:iCs/>
                <w:sz w:val="21"/>
                <w:szCs w:val="21"/>
              </w:rPr>
              <w:t>FMR1</w:t>
            </w:r>
            <w:r>
              <w:rPr>
                <w:rFonts w:hAnsi="宋体"/>
                <w:sz w:val="21"/>
                <w:szCs w:val="21"/>
              </w:rPr>
              <w:t>启动子区域的CGG重复序列使用TP-PCR结合毛细管电泳法进行检测，能准确检测200以下的具体重复数，并判断大于200的重复；</w:t>
            </w:r>
          </w:p>
          <w:p>
            <w:pPr>
              <w:pStyle w:val="9"/>
              <w:numPr>
                <w:ilvl w:val="0"/>
                <w:numId w:val="37"/>
              </w:numPr>
              <w:autoSpaceDE/>
              <w:autoSpaceDN/>
              <w:adjustRightInd/>
              <w:ind w:firstLineChars="0"/>
              <w:jc w:val="both"/>
              <w:rPr>
                <w:rFonts w:hAnsi="宋体"/>
                <w:sz w:val="21"/>
                <w:szCs w:val="21"/>
              </w:rPr>
            </w:pPr>
            <w:r>
              <w:rPr>
                <w:rFonts w:hint="eastAsia" w:hAnsi="宋体"/>
                <w:sz w:val="21"/>
                <w:szCs w:val="21"/>
              </w:rPr>
              <w:t>对于</w:t>
            </w:r>
            <w:r>
              <w:rPr>
                <w:rFonts w:hAnsi="宋体"/>
                <w:sz w:val="21"/>
                <w:szCs w:val="21"/>
              </w:rPr>
              <w:t>panel中具有相似度高同源区域的基因，供应商能提供基于专利技术的有针对性的一代测序位点验证解决方案，有效排除同源区域干扰，且该专利技术有相应SCI文献报道（Nat Biomed Eng，IF&gt;25）；</w:t>
            </w:r>
          </w:p>
          <w:p>
            <w:pPr>
              <w:widowControl/>
              <w:rPr>
                <w:rFonts w:ascii="幼圆" w:hAnsi="宋体" w:eastAsia="幼圆"/>
                <w:kern w:val="2"/>
                <w:sz w:val="21"/>
                <w:szCs w:val="21"/>
              </w:rPr>
            </w:pPr>
            <w:r>
              <w:rPr>
                <w:rFonts w:hint="eastAsia" w:hAnsi="宋体"/>
                <w:sz w:val="21"/>
                <w:szCs w:val="21"/>
              </w:rPr>
              <w:t>针对项目检出的疑似生殖腺嵌合（</w:t>
            </w:r>
            <w:r>
              <w:rPr>
                <w:rFonts w:hAnsi="宋体"/>
                <w:sz w:val="21"/>
                <w:szCs w:val="21"/>
              </w:rPr>
              <w:t>SNV、indel和有明确断点的CNV），能提供基于专利技术解决方案，样本通过PCR +sanger的方法进行验证，可报出百分之一以上生殖腺嵌合；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hAnsi="宋体"/>
              </w:rPr>
              <w:t>反复种植失败基因检测（单人）</w:t>
            </w:r>
          </w:p>
        </w:tc>
        <w:tc>
          <w:tcPr>
            <w:tcW w:w="1462" w:type="dxa"/>
            <w:vAlign w:val="center"/>
          </w:tcPr>
          <w:p>
            <w:pPr>
              <w:snapToGrid w:val="0"/>
              <w:spacing w:line="240" w:lineRule="exact"/>
              <w:rPr>
                <w:rFonts w:ascii="幼圆" w:hAnsi="Calibri" w:eastAsia="幼圆"/>
                <w:kern w:val="2"/>
                <w:sz w:val="21"/>
                <w:szCs w:val="21"/>
              </w:rPr>
            </w:pPr>
            <w:r>
              <w:rPr>
                <w:rFonts w:hint="eastAsia" w:hAnsi="宋体"/>
              </w:rPr>
              <w:t>外周血</w:t>
            </w:r>
          </w:p>
        </w:tc>
        <w:tc>
          <w:tcPr>
            <w:tcW w:w="6251" w:type="dxa"/>
            <w:vAlign w:val="center"/>
          </w:tcPr>
          <w:p>
            <w:pPr>
              <w:rPr>
                <w:rFonts w:hAnsi="宋体"/>
                <w:sz w:val="21"/>
                <w:szCs w:val="21"/>
              </w:rPr>
            </w:pPr>
            <w:r>
              <w:rPr>
                <w:rFonts w:hAnsi="宋体"/>
                <w:sz w:val="21"/>
                <w:szCs w:val="21"/>
              </w:rPr>
              <w:t>1.</w:t>
            </w:r>
            <w:r>
              <w:rPr>
                <w:rFonts w:hAnsi="宋体"/>
                <w:sz w:val="21"/>
                <w:szCs w:val="21"/>
              </w:rPr>
              <w:tab/>
            </w:r>
            <w:r>
              <w:rPr>
                <w:rFonts w:hAnsi="宋体"/>
                <w:sz w:val="21"/>
                <w:szCs w:val="21"/>
              </w:rPr>
              <w:t>覆盖WES两万多个基因的外显子区域，可以检测单核苷酸变异（SNV）、插入缺失（indel，≤50bp），内含子±10bp区域变异，大片段的CNV及外显子水平的CNV；以及低至20%的染色体嵌合（Y染色体可分别10%）；针对280个以上不孕不育基因进行探针优化；</w:t>
            </w:r>
          </w:p>
          <w:p>
            <w:pPr>
              <w:rPr>
                <w:rFonts w:hAnsi="宋体"/>
                <w:sz w:val="21"/>
                <w:szCs w:val="21"/>
              </w:rPr>
            </w:pPr>
            <w:r>
              <w:rPr>
                <w:rFonts w:hAnsi="宋体"/>
                <w:sz w:val="21"/>
                <w:szCs w:val="21"/>
              </w:rPr>
              <w:t>2.</w:t>
            </w:r>
            <w:r>
              <w:rPr>
                <w:rFonts w:hAnsi="宋体"/>
                <w:sz w:val="21"/>
                <w:szCs w:val="21"/>
              </w:rPr>
              <w:tab/>
            </w:r>
            <w:r>
              <w:rPr>
                <w:rFonts w:hAnsi="宋体"/>
                <w:sz w:val="21"/>
                <w:szCs w:val="21"/>
              </w:rPr>
              <w:t>检测数据量不少于14G，测序深度≥200X；对于特别关注的男性不育女性不孕相关基因进行探针优化，测序深度≥300X,整体Q30比例不低于90%；%duplication≤20%；目标区域30X以上覆盖度&gt;98%；</w:t>
            </w:r>
          </w:p>
          <w:p>
            <w:pPr>
              <w:rPr>
                <w:rFonts w:hAnsi="宋体"/>
                <w:sz w:val="21"/>
                <w:szCs w:val="21"/>
              </w:rPr>
            </w:pPr>
            <w:r>
              <w:rPr>
                <w:rFonts w:hAnsi="宋体"/>
                <w:sz w:val="21"/>
                <w:szCs w:val="21"/>
              </w:rPr>
              <w:t>3.</w:t>
            </w:r>
            <w:r>
              <w:rPr>
                <w:rFonts w:hAnsi="宋体"/>
                <w:sz w:val="21"/>
                <w:szCs w:val="21"/>
              </w:rPr>
              <w:tab/>
            </w:r>
            <w:r>
              <w:rPr>
                <w:rFonts w:hAnsi="宋体"/>
                <w:sz w:val="21"/>
                <w:szCs w:val="21"/>
              </w:rPr>
              <w:t>针对</w:t>
            </w:r>
            <w:r>
              <w:rPr>
                <w:rFonts w:hAnsi="宋体"/>
                <w:i/>
                <w:iCs/>
                <w:sz w:val="21"/>
                <w:szCs w:val="21"/>
              </w:rPr>
              <w:t>FMR1</w:t>
            </w:r>
            <w:r>
              <w:rPr>
                <w:rFonts w:hAnsi="宋体"/>
                <w:sz w:val="21"/>
                <w:szCs w:val="21"/>
              </w:rPr>
              <w:t>启动子区域的CGG重复序列使用TP-PCR结合毛细管电泳法进行检测，能准确检测200以下的具体重复数，并判断大于200的重复；</w:t>
            </w:r>
          </w:p>
          <w:p>
            <w:pPr>
              <w:rPr>
                <w:rFonts w:hAnsi="宋体"/>
                <w:sz w:val="21"/>
                <w:szCs w:val="21"/>
              </w:rPr>
            </w:pPr>
            <w:r>
              <w:rPr>
                <w:rFonts w:hAnsi="宋体"/>
                <w:sz w:val="21"/>
                <w:szCs w:val="21"/>
              </w:rPr>
              <w:t>4.</w:t>
            </w:r>
            <w:r>
              <w:rPr>
                <w:rFonts w:hAnsi="宋体"/>
                <w:sz w:val="21"/>
                <w:szCs w:val="21"/>
              </w:rPr>
              <w:tab/>
            </w:r>
            <w:r>
              <w:rPr>
                <w:rFonts w:hAnsi="宋体"/>
                <w:sz w:val="21"/>
                <w:szCs w:val="21"/>
              </w:rPr>
              <w:t>探针覆盖针对不孕不育明确相关的非编码区，如</w:t>
            </w:r>
            <w:r>
              <w:rPr>
                <w:rFonts w:hAnsi="宋体"/>
                <w:i/>
                <w:iCs/>
                <w:sz w:val="21"/>
                <w:szCs w:val="21"/>
              </w:rPr>
              <w:t>SOX9</w:t>
            </w:r>
            <w:r>
              <w:rPr>
                <w:rFonts w:hAnsi="宋体"/>
                <w:sz w:val="21"/>
                <w:szCs w:val="21"/>
              </w:rPr>
              <w:t>上游增强子、</w:t>
            </w:r>
            <w:r>
              <w:rPr>
                <w:rFonts w:hAnsi="宋体"/>
                <w:i/>
                <w:iCs/>
                <w:sz w:val="21"/>
                <w:szCs w:val="21"/>
              </w:rPr>
              <w:t>CFTR</w:t>
            </w:r>
            <w:r>
              <w:rPr>
                <w:rFonts w:hAnsi="宋体"/>
                <w:sz w:val="21"/>
                <w:szCs w:val="21"/>
              </w:rPr>
              <w:t xml:space="preserve"> 9号内含子区域（如intron9的5T变异）及Y染色体AZF区（AZFa/b/c三个区域设置450条探针，可区分局部缺失及完全缺失，同时可提示缺失片段大小）</w:t>
            </w:r>
            <w:r>
              <w:rPr>
                <w:rFonts w:hint="eastAsia" w:hAnsi="宋体"/>
                <w:sz w:val="21"/>
                <w:szCs w:val="21"/>
              </w:rPr>
              <w:t>；</w:t>
            </w:r>
          </w:p>
          <w:p>
            <w:pPr>
              <w:rPr>
                <w:rFonts w:hAnsi="宋体"/>
                <w:sz w:val="21"/>
                <w:szCs w:val="21"/>
              </w:rPr>
            </w:pPr>
            <w:r>
              <w:rPr>
                <w:rFonts w:hint="eastAsia" w:hAnsi="宋体"/>
                <w:sz w:val="21"/>
                <w:szCs w:val="21"/>
              </w:rPr>
              <w:t>5</w:t>
            </w:r>
            <w:r>
              <w:rPr>
                <w:rFonts w:hAnsi="宋体"/>
                <w:sz w:val="21"/>
                <w:szCs w:val="21"/>
              </w:rPr>
              <w:t>.</w:t>
            </w:r>
            <w:r>
              <w:rPr>
                <w:rFonts w:hAnsi="宋体"/>
                <w:sz w:val="21"/>
                <w:szCs w:val="21"/>
              </w:rPr>
              <w:tab/>
            </w:r>
            <w:r>
              <w:rPr>
                <w:rFonts w:hAnsi="宋体"/>
                <w:sz w:val="21"/>
                <w:szCs w:val="21"/>
              </w:rPr>
              <w:t>对于不孕不育中具有相似度高同源区域的16个基因</w:t>
            </w:r>
            <w:r>
              <w:rPr>
                <w:rFonts w:hint="eastAsia" w:hAnsi="宋体"/>
                <w:sz w:val="21"/>
                <w:szCs w:val="21"/>
              </w:rPr>
              <w:t>，供应商能利用专利技术提供有针对性的一代测序位点验证解决方案且该专利技术有</w:t>
            </w:r>
            <w:r>
              <w:rPr>
                <w:rFonts w:hAnsi="宋体"/>
                <w:sz w:val="21"/>
                <w:szCs w:val="21"/>
              </w:rPr>
              <w:t>IF&gt;25的SCI文献报道</w:t>
            </w:r>
            <w:r>
              <w:rPr>
                <w:rFonts w:hint="eastAsia" w:hAnsi="宋体"/>
                <w:sz w:val="21"/>
                <w:szCs w:val="21"/>
              </w:rPr>
              <w:t>；</w:t>
            </w:r>
          </w:p>
          <w:p>
            <w:pPr>
              <w:widowControl/>
              <w:rPr>
                <w:rFonts w:ascii="幼圆" w:hAnsi="宋体" w:eastAsia="幼圆"/>
                <w:kern w:val="2"/>
                <w:sz w:val="21"/>
                <w:szCs w:val="21"/>
              </w:rPr>
            </w:pPr>
            <w:r>
              <w:rPr>
                <w:rFonts w:hint="eastAsia" w:hAnsi="宋体"/>
                <w:sz w:val="21"/>
                <w:szCs w:val="21"/>
              </w:rPr>
              <w:t>6</w:t>
            </w:r>
            <w:r>
              <w:rPr>
                <w:rFonts w:hAnsi="宋体"/>
                <w:sz w:val="21"/>
                <w:szCs w:val="21"/>
              </w:rPr>
              <w:t>.</w:t>
            </w:r>
            <w:r>
              <w:rPr>
                <w:rFonts w:hAnsi="宋体"/>
                <w:sz w:val="21"/>
                <w:szCs w:val="21"/>
              </w:rPr>
              <w:tab/>
            </w:r>
            <w:r>
              <w:rPr>
                <w:rFonts w:hint="eastAsia" w:hAnsi="宋体"/>
                <w:sz w:val="21"/>
                <w:szCs w:val="21"/>
              </w:rPr>
              <w:t>针对项目检出的疑似嵌合（</w:t>
            </w:r>
            <w:r>
              <w:rPr>
                <w:rFonts w:hAnsi="宋体"/>
                <w:sz w:val="21"/>
                <w:szCs w:val="21"/>
              </w:rPr>
              <w:t>SNV、indel和有明确断点的CNV），能提供基于专利技术解决方案，样本通过PCR +sanger的方法进行验证，可报出百分之一以上生殖腺或组织嵌合；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jc w:val="both"/>
              <w:rPr>
                <w:rFonts w:ascii="幼圆" w:hAnsi="Calibri" w:eastAsia="幼圆"/>
                <w:kern w:val="2"/>
                <w:sz w:val="21"/>
                <w:szCs w:val="21"/>
              </w:rPr>
            </w:pPr>
            <w:r>
              <w:rPr>
                <w:rFonts w:hint="eastAsia" w:hAnsi="宋体"/>
              </w:rPr>
              <w:t>精子非整倍体检测</w:t>
            </w:r>
          </w:p>
        </w:tc>
        <w:tc>
          <w:tcPr>
            <w:tcW w:w="1462" w:type="dxa"/>
            <w:vAlign w:val="center"/>
          </w:tcPr>
          <w:p>
            <w:pPr>
              <w:snapToGrid w:val="0"/>
              <w:spacing w:line="240" w:lineRule="exact"/>
              <w:rPr>
                <w:rFonts w:ascii="幼圆" w:hAnsi="Calibri" w:eastAsia="幼圆"/>
                <w:kern w:val="2"/>
                <w:sz w:val="21"/>
                <w:szCs w:val="21"/>
              </w:rPr>
            </w:pPr>
            <w:r>
              <w:rPr>
                <w:rFonts w:hint="eastAsia" w:hAnsi="宋体"/>
              </w:rPr>
              <w:t>新鲜或冷冻人类精液</w:t>
            </w:r>
            <w:r>
              <w:rPr>
                <w:rFonts w:hAnsi="宋体"/>
              </w:rPr>
              <w:t>2ml</w:t>
            </w:r>
          </w:p>
        </w:tc>
        <w:tc>
          <w:tcPr>
            <w:tcW w:w="6251" w:type="dxa"/>
            <w:vAlign w:val="center"/>
          </w:tcPr>
          <w:p>
            <w:pPr>
              <w:pStyle w:val="9"/>
              <w:numPr>
                <w:ilvl w:val="0"/>
                <w:numId w:val="38"/>
              </w:numPr>
              <w:autoSpaceDE/>
              <w:autoSpaceDN/>
              <w:adjustRightInd/>
              <w:ind w:firstLineChars="0"/>
              <w:jc w:val="both"/>
              <w:rPr>
                <w:rFonts w:hAnsi="宋体"/>
                <w:sz w:val="21"/>
                <w:szCs w:val="21"/>
              </w:rPr>
            </w:pPr>
            <w:r>
              <w:rPr>
                <w:rFonts w:hint="eastAsia" w:hAnsi="宋体"/>
                <w:sz w:val="21"/>
                <w:szCs w:val="21"/>
              </w:rPr>
              <w:t>可一次性检测可能导致非整倍体胚胎活产的男性精子</w:t>
            </w:r>
            <w:r>
              <w:rPr>
                <w:rFonts w:hAnsi="宋体"/>
                <w:sz w:val="21"/>
                <w:szCs w:val="21"/>
              </w:rPr>
              <w:t>13、18、21号染色体以及性染色体非整倍性</w:t>
            </w:r>
            <w:r>
              <w:rPr>
                <w:rFonts w:hint="eastAsia" w:hAnsi="宋体"/>
                <w:sz w:val="21"/>
                <w:szCs w:val="21"/>
              </w:rPr>
              <w:t>，</w:t>
            </w:r>
            <w:r>
              <w:rPr>
                <w:rFonts w:hAnsi="宋体"/>
                <w:sz w:val="21"/>
                <w:szCs w:val="21"/>
              </w:rPr>
              <w:t>可实现对</w:t>
            </w:r>
            <w:r>
              <w:rPr>
                <w:rFonts w:hint="eastAsia" w:hAnsi="宋体"/>
                <w:sz w:val="21"/>
                <w:szCs w:val="21"/>
              </w:rPr>
              <w:t>以上五条</w:t>
            </w:r>
            <w:r>
              <w:rPr>
                <w:rFonts w:hAnsi="宋体"/>
                <w:sz w:val="21"/>
                <w:szCs w:val="21"/>
              </w:rPr>
              <w:t>染色体二体、缺失的准确计数</w:t>
            </w:r>
          </w:p>
          <w:p>
            <w:pPr>
              <w:pStyle w:val="9"/>
              <w:numPr>
                <w:ilvl w:val="0"/>
                <w:numId w:val="38"/>
              </w:numPr>
              <w:autoSpaceDE/>
              <w:autoSpaceDN/>
              <w:adjustRightInd/>
              <w:ind w:firstLineChars="0"/>
              <w:jc w:val="both"/>
              <w:rPr>
                <w:rFonts w:hAnsi="宋体"/>
                <w:sz w:val="21"/>
                <w:szCs w:val="21"/>
              </w:rPr>
            </w:pPr>
            <w:r>
              <w:rPr>
                <w:rFonts w:hint="eastAsia" w:hAnsi="宋体"/>
                <w:sz w:val="21"/>
                <w:szCs w:val="21"/>
              </w:rPr>
              <w:t>一份样本观察</w:t>
            </w:r>
            <w:r>
              <w:rPr>
                <w:rFonts w:hAnsi="宋体"/>
                <w:sz w:val="21"/>
                <w:szCs w:val="21"/>
              </w:rPr>
              <w:t>2000个以上精子细胞</w:t>
            </w:r>
            <w:r>
              <w:rPr>
                <w:rFonts w:hint="eastAsia" w:hAnsi="宋体"/>
                <w:sz w:val="21"/>
                <w:szCs w:val="21"/>
              </w:rPr>
              <w:t>；</w:t>
            </w:r>
          </w:p>
          <w:p>
            <w:pPr>
              <w:pStyle w:val="9"/>
              <w:numPr>
                <w:ilvl w:val="0"/>
                <w:numId w:val="38"/>
              </w:numPr>
              <w:autoSpaceDE/>
              <w:autoSpaceDN/>
              <w:adjustRightInd/>
              <w:ind w:firstLineChars="0"/>
              <w:jc w:val="both"/>
              <w:rPr>
                <w:rFonts w:hAnsi="宋体"/>
                <w:sz w:val="21"/>
                <w:szCs w:val="21"/>
              </w:rPr>
            </w:pPr>
            <w:r>
              <w:rPr>
                <w:rFonts w:hint="eastAsia" w:hAnsi="宋体"/>
                <w:sz w:val="21"/>
                <w:szCs w:val="21"/>
              </w:rPr>
              <w:t>本检测使用荧光原位杂交（</w:t>
            </w:r>
            <w:r>
              <w:rPr>
                <w:rFonts w:hAnsi="宋体"/>
                <w:sz w:val="21"/>
                <w:szCs w:val="21"/>
              </w:rPr>
              <w:t>FISH）</w:t>
            </w:r>
            <w:r>
              <w:rPr>
                <w:rFonts w:hint="eastAsia" w:hAnsi="宋体"/>
                <w:sz w:val="21"/>
                <w:szCs w:val="21"/>
              </w:rPr>
              <w:t>，可用荧光显微镜即可直接观察目标</w:t>
            </w:r>
            <w:r>
              <w:rPr>
                <w:rFonts w:hAnsi="宋体"/>
                <w:sz w:val="21"/>
                <w:szCs w:val="21"/>
              </w:rPr>
              <w:t>DNA所在的位置，对染色体目标DNA进行定性、定量或相对定位分析，具有很高的灵敏度和特异性</w:t>
            </w:r>
            <w:r>
              <w:rPr>
                <w:rFonts w:hint="eastAsia" w:hAnsi="宋体"/>
                <w:sz w:val="21"/>
                <w:szCs w:val="21"/>
              </w:rPr>
              <w:t>；</w:t>
            </w:r>
          </w:p>
          <w:p>
            <w:pPr>
              <w:ind w:left="420" w:hanging="420" w:hangingChars="200"/>
              <w:rPr>
                <w:rFonts w:hAnsi="宋体"/>
                <w:sz w:val="21"/>
                <w:szCs w:val="21"/>
              </w:rPr>
            </w:pPr>
            <w:r>
              <w:rPr>
                <w:rFonts w:hint="eastAsia" w:hAnsi="宋体"/>
                <w:sz w:val="21"/>
                <w:szCs w:val="21"/>
              </w:rPr>
              <w:t>4</w:t>
            </w:r>
            <w:r>
              <w:rPr>
                <w:rFonts w:hAnsi="宋体"/>
                <w:sz w:val="21"/>
                <w:szCs w:val="21"/>
              </w:rPr>
              <w:t>.</w:t>
            </w:r>
            <w:r>
              <w:rPr>
                <w:rFonts w:hint="eastAsia"/>
                <w:sz w:val="21"/>
                <w:szCs w:val="21"/>
              </w:rPr>
              <w:t xml:space="preserve"> 对</w:t>
            </w:r>
            <w:r>
              <w:rPr>
                <w:rFonts w:hint="eastAsia" w:hAnsi="宋体"/>
                <w:sz w:val="21"/>
                <w:szCs w:val="21"/>
              </w:rPr>
              <w:t>不明原因不育、少弱畸形精子症、不明原因反复流产、反复种植失败；放化疗后或有毒有害接触史精子评估</w:t>
            </w:r>
          </w:p>
          <w:p>
            <w:pPr>
              <w:widowControl/>
              <w:rPr>
                <w:rFonts w:ascii="幼圆" w:hAnsi="宋体" w:eastAsia="幼圆"/>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vAlign w:val="center"/>
          </w:tcPr>
          <w:p>
            <w:pPr>
              <w:widowControl/>
              <w:autoSpaceDE/>
              <w:autoSpaceDN/>
              <w:adjustRightInd/>
              <w:jc w:val="both"/>
              <w:rPr>
                <w:rFonts w:hint="eastAsia" w:ascii="等线" w:hAnsi="等线" w:eastAsia="等线"/>
                <w:sz w:val="22"/>
                <w:szCs w:val="22"/>
              </w:rPr>
            </w:pPr>
            <w:r>
              <w:rPr>
                <w:rFonts w:hint="eastAsia" w:ascii="等线" w:hAnsi="等线" w:eastAsia="等线"/>
                <w:sz w:val="22"/>
                <w:szCs w:val="22"/>
              </w:rPr>
              <w:t>胚胎发育阻滞基因检测</w:t>
            </w:r>
          </w:p>
        </w:tc>
        <w:tc>
          <w:tcPr>
            <w:tcW w:w="1462" w:type="dxa"/>
            <w:vAlign w:val="center"/>
          </w:tcPr>
          <w:p>
            <w:pPr>
              <w:snapToGrid w:val="0"/>
              <w:spacing w:line="240" w:lineRule="exact"/>
              <w:rPr>
                <w:rFonts w:ascii="幼圆" w:hAnsi="Calibri" w:eastAsia="幼圆"/>
                <w:kern w:val="2"/>
                <w:sz w:val="21"/>
                <w:szCs w:val="21"/>
              </w:rPr>
            </w:pPr>
            <w:r>
              <w:rPr>
                <w:rFonts w:hint="eastAsia" w:hAnsi="宋体"/>
              </w:rPr>
              <w:t>外周血</w:t>
            </w:r>
          </w:p>
        </w:tc>
        <w:tc>
          <w:tcPr>
            <w:tcW w:w="6251" w:type="dxa"/>
            <w:vAlign w:val="center"/>
          </w:tcPr>
          <w:p>
            <w:pPr>
              <w:pStyle w:val="9"/>
              <w:numPr>
                <w:ilvl w:val="0"/>
                <w:numId w:val="39"/>
              </w:numPr>
              <w:autoSpaceDE/>
              <w:autoSpaceDN/>
              <w:adjustRightInd/>
              <w:ind w:firstLineChars="0"/>
              <w:jc w:val="both"/>
              <w:rPr>
                <w:rFonts w:ascii="Times New Roman"/>
                <w:szCs w:val="21"/>
              </w:rPr>
            </w:pPr>
            <w:r>
              <w:rPr>
                <w:rFonts w:hint="eastAsia" w:ascii="Times New Roman"/>
                <w:szCs w:val="21"/>
              </w:rPr>
              <w:t>覆盖约人类2万个多种基因的外显子区域，能够检出现有已知的近7000种遗传病，包含400000+探针，目标捕获区间≥39M；</w:t>
            </w:r>
          </w:p>
          <w:p>
            <w:pPr>
              <w:pStyle w:val="9"/>
              <w:numPr>
                <w:ilvl w:val="0"/>
                <w:numId w:val="39"/>
              </w:numPr>
              <w:autoSpaceDE/>
              <w:autoSpaceDN/>
              <w:adjustRightInd/>
              <w:ind w:firstLineChars="0"/>
              <w:jc w:val="both"/>
              <w:rPr>
                <w:rFonts w:hAnsi="宋体"/>
              </w:rPr>
            </w:pPr>
            <w:r>
              <w:rPr>
                <w:rFonts w:hint="eastAsia" w:hAnsi="宋体"/>
              </w:rPr>
              <w:t>检测数据量不小于</w:t>
            </w:r>
            <w:r>
              <w:rPr>
                <w:rFonts w:hAnsi="宋体"/>
              </w:rPr>
              <w:t>10G，测序深度≥200X；Q30比例不低于90%；%duplication≤20%；目标区域30X以上覆盖度&gt;98%；</w:t>
            </w:r>
          </w:p>
          <w:p>
            <w:pPr>
              <w:pStyle w:val="9"/>
              <w:numPr>
                <w:ilvl w:val="0"/>
                <w:numId w:val="39"/>
              </w:numPr>
              <w:autoSpaceDE/>
              <w:autoSpaceDN/>
              <w:adjustRightInd/>
              <w:ind w:firstLineChars="0"/>
              <w:jc w:val="both"/>
              <w:rPr>
                <w:rFonts w:hAnsi="宋体"/>
              </w:rPr>
            </w:pPr>
            <w:r>
              <w:rPr>
                <w:rFonts w:hint="eastAsia" w:hAnsi="宋体"/>
              </w:rPr>
              <w:t>检测类型包含针对点突变、单核苷酸变异（</w:t>
            </w:r>
            <w:r>
              <w:rPr>
                <w:rFonts w:hAnsi="宋体"/>
              </w:rPr>
              <w:t>SNV），插入缺失（indel≤50bp）,内含子±10bp区域变异，大片段的CNV及外显子水平的CNV；低至20%的染色体嵌合；</w:t>
            </w:r>
          </w:p>
          <w:p>
            <w:pPr>
              <w:pStyle w:val="9"/>
              <w:numPr>
                <w:ilvl w:val="0"/>
                <w:numId w:val="39"/>
              </w:numPr>
              <w:autoSpaceDE/>
              <w:autoSpaceDN/>
              <w:adjustRightInd/>
              <w:ind w:firstLineChars="0"/>
              <w:jc w:val="both"/>
              <w:rPr>
                <w:rFonts w:hAnsi="宋体"/>
              </w:rPr>
            </w:pPr>
            <w:r>
              <w:rPr>
                <w:rFonts w:hint="eastAsia" w:hAnsi="宋体"/>
              </w:rPr>
              <w:t>针对家系样本中临床强烈怀疑生殖腺嵌合的情况（</w:t>
            </w:r>
            <w:r>
              <w:rPr>
                <w:rFonts w:hAnsi="宋体"/>
              </w:rPr>
              <w:t>SNV、indel和有明确断点的CNV），可提供基于专利技术的验证方案，可报出百分之一以上生殖腺嵌合；</w:t>
            </w:r>
          </w:p>
          <w:p>
            <w:pPr>
              <w:widowControl/>
              <w:rPr>
                <w:rFonts w:ascii="幼圆" w:hAnsi="宋体" w:eastAsia="幼圆"/>
                <w:kern w:val="2"/>
                <w:sz w:val="21"/>
                <w:szCs w:val="21"/>
              </w:rPr>
            </w:pPr>
            <w:r>
              <w:rPr>
                <w:rFonts w:hint="eastAsia" w:hAnsi="宋体"/>
              </w:rPr>
              <w:t>针对全外检测范围内的具有相似度高同源区域的基因，供应商能利用专利技术提供有针对性的测序位点验证解决方案且该专利技术有</w:t>
            </w:r>
            <w:r>
              <w:rPr>
                <w:rFonts w:hAnsi="宋体"/>
              </w:rPr>
              <w:t>IF&gt;25的SCI文</w:t>
            </w:r>
            <w:r>
              <w:rPr>
                <w:rFonts w:hint="eastAsia" w:hAnsi="宋体"/>
              </w:rPr>
              <w:t>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幼圆" w:hAnsi="Calibri" w:eastAsia="幼圆"/>
                <w:kern w:val="2"/>
                <w:sz w:val="21"/>
                <w:szCs w:val="21"/>
              </w:rPr>
            </w:pPr>
            <w:r>
              <w:rPr>
                <w:rFonts w:hint="eastAsia"/>
                <w:color w:val="000000"/>
                <w:sz w:val="22"/>
                <w:szCs w:val="22"/>
              </w:rPr>
              <w:t>幽门螺杆菌基因分型检测</w:t>
            </w:r>
          </w:p>
        </w:tc>
        <w:tc>
          <w:tcPr>
            <w:tcW w:w="146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exact"/>
              <w:rPr>
                <w:rFonts w:ascii="幼圆" w:hAnsi="Calibri" w:eastAsia="幼圆"/>
                <w:kern w:val="2"/>
                <w:sz w:val="21"/>
                <w:szCs w:val="21"/>
              </w:rPr>
            </w:pPr>
            <w:r>
              <w:rPr>
                <w:rFonts w:hint="eastAsia"/>
                <w:color w:val="000000"/>
                <w:sz w:val="22"/>
                <w:szCs w:val="22"/>
              </w:rPr>
              <w:t>粪便</w:t>
            </w:r>
          </w:p>
        </w:tc>
        <w:tc>
          <w:tcPr>
            <w:tcW w:w="6251" w:type="dxa"/>
            <w:tcBorders>
              <w:top w:val="single" w:color="auto" w:sz="4" w:space="0"/>
              <w:left w:val="nil"/>
              <w:bottom w:val="single" w:color="auto" w:sz="4" w:space="0"/>
              <w:right w:val="single" w:color="auto" w:sz="4" w:space="0"/>
            </w:tcBorders>
            <w:shd w:val="clear" w:color="auto" w:fill="auto"/>
            <w:vAlign w:val="center"/>
          </w:tcPr>
          <w:p>
            <w:pPr>
              <w:widowControl/>
              <w:rPr>
                <w:rFonts w:ascii="幼圆" w:hAnsi="宋体" w:eastAsia="幼圆"/>
                <w:kern w:val="2"/>
                <w:sz w:val="21"/>
                <w:szCs w:val="21"/>
              </w:rPr>
            </w:pPr>
            <w:r>
              <w:rPr>
                <w:rFonts w:hint="eastAsia"/>
                <w:color w:val="000000"/>
                <w:sz w:val="21"/>
                <w:szCs w:val="21"/>
              </w:rPr>
              <w:t>根据美国卫生及公共服务部发布第15版致癌物报告，幽门螺旋杆菌慢性感染被列明为明确致癌物。其中空泡毒素（VacA）和细胞毒素（CagA）是Hp毒素的主要标志。依据其分泌毒素的情况不同，可以将Hp分为两类：Ⅰ型和Ⅱ型。Ⅰ型：产细胞毒素的Hp菌株，有较强的毒性。这类菌株感染能使胃上皮细胞出现空泡、变形和损害，引起溃疡和诱发癌变，其检出率约占总Hp感染的50-60%。Ⅰ型含有细胞毒素（CagA）和 VacA（空泡毒素）基因，并表达一种或两种蛋白。Ⅰ型感染者中的胃癌和溃疡患病率显著高于Ⅱ型Hp感染者，Ⅰ型感染人群需要进行根除治疗。Ⅱ型：不产生细胞毒素的Hp菌株，毒力低，感染后一般只引起慢性浅表性胃炎而无临床症状。对于Ⅱ型Hp，因为其毒性低，可根据不同情况自主选择是否需要用药。对于无临床症状的患者可以不使用药物治疗，随访观察、饮食调理即可。</w:t>
            </w:r>
            <w:r>
              <w:rPr>
                <w:rFonts w:hint="eastAsia"/>
                <w:color w:val="000000"/>
                <w:sz w:val="21"/>
                <w:szCs w:val="21"/>
              </w:rPr>
              <w:br w:type="textWrapping"/>
            </w:r>
            <w:r>
              <w:rPr>
                <w:rFonts w:hint="eastAsia"/>
                <w:color w:val="000000"/>
                <w:sz w:val="21"/>
                <w:szCs w:val="21"/>
              </w:rPr>
              <w:t>灵敏度：100 copies/反应</w:t>
            </w:r>
            <w:r>
              <w:rPr>
                <w:rFonts w:hint="eastAsia"/>
                <w:color w:val="000000"/>
                <w:sz w:val="21"/>
                <w:szCs w:val="21"/>
              </w:rPr>
              <w:br w:type="textWrapping"/>
            </w:r>
            <w:r>
              <w:rPr>
                <w:rFonts w:hint="eastAsia"/>
                <w:color w:val="000000"/>
                <w:sz w:val="21"/>
                <w:szCs w:val="21"/>
              </w:rPr>
              <w:t>准确性：与Sager测序结果对比，符合率达到 99%以上。</w:t>
            </w:r>
            <w:r>
              <w:rPr>
                <w:rFonts w:hint="eastAsia"/>
                <w:color w:val="000000"/>
                <w:sz w:val="21"/>
                <w:szCs w:val="21"/>
              </w:rPr>
              <w:br w:type="textWrapping"/>
            </w:r>
            <w:r>
              <w:rPr>
                <w:rFonts w:hint="eastAsia"/>
                <w:color w:val="000000"/>
                <w:sz w:val="21"/>
                <w:szCs w:val="21"/>
              </w:rPr>
              <w:t>重复性：检测1份阳性精密度参考品（J），重复10次检测，结果全部为阳性。CV均应不高于5%.</w:t>
            </w:r>
            <w:r>
              <w:rPr>
                <w:rFonts w:hint="eastAsia"/>
                <w:color w:val="000000"/>
                <w:sz w:val="21"/>
                <w:szCs w:val="21"/>
              </w:rPr>
              <w:br w:type="textWrapping"/>
            </w:r>
            <w:r>
              <w:rPr>
                <w:rFonts w:hint="eastAsia"/>
                <w:color w:val="000000"/>
                <w:sz w:val="21"/>
                <w:szCs w:val="21"/>
              </w:rPr>
              <w:t>反应时间：PCR ≤ 2 hours</w:t>
            </w:r>
            <w:r>
              <w:rPr>
                <w:rFonts w:hint="eastAsia"/>
                <w:color w:val="000000"/>
                <w:sz w:val="21"/>
                <w:szCs w:val="21"/>
              </w:rPr>
              <w:br w:type="textWrapping"/>
            </w:r>
            <w:r>
              <w:rPr>
                <w:rFonts w:hint="eastAsia"/>
                <w:color w:val="000000"/>
                <w:sz w:val="21"/>
                <w:szCs w:val="21"/>
              </w:rPr>
              <w:t>样本类型：胃黏膜、胃粘膜石蜡包埋组织、粪便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 w:type="dxa"/>
          </w:tcPr>
          <w:p>
            <w:pPr>
              <w:widowControl/>
              <w:numPr>
                <w:ilvl w:val="0"/>
                <w:numId w:val="5"/>
              </w:numPr>
              <w:jc w:val="center"/>
              <w:rPr>
                <w:rFonts w:ascii="幼圆" w:eastAsia="幼圆"/>
                <w:sz w:val="21"/>
                <w:szCs w:val="21"/>
              </w:rPr>
            </w:pPr>
          </w:p>
        </w:tc>
        <w:tc>
          <w:tcPr>
            <w:tcW w:w="1389" w:type="dxa"/>
            <w:tcBorders>
              <w:top w:val="nil"/>
              <w:left w:val="single" w:color="auto" w:sz="4" w:space="0"/>
              <w:bottom w:val="single" w:color="auto" w:sz="4" w:space="0"/>
              <w:right w:val="single" w:color="auto" w:sz="4" w:space="0"/>
            </w:tcBorders>
            <w:shd w:val="clear" w:color="auto" w:fill="auto"/>
            <w:vAlign w:val="center"/>
          </w:tcPr>
          <w:p>
            <w:pPr>
              <w:jc w:val="both"/>
              <w:rPr>
                <w:rFonts w:ascii="幼圆" w:hAnsi="Calibri" w:eastAsia="幼圆"/>
                <w:kern w:val="2"/>
                <w:sz w:val="21"/>
                <w:szCs w:val="21"/>
              </w:rPr>
            </w:pPr>
            <w:r>
              <w:rPr>
                <w:rFonts w:hint="eastAsia"/>
                <w:color w:val="000000"/>
                <w:sz w:val="22"/>
                <w:szCs w:val="22"/>
              </w:rPr>
              <w:t>幽门螺杆菌耐药基因检测</w:t>
            </w:r>
          </w:p>
        </w:tc>
        <w:tc>
          <w:tcPr>
            <w:tcW w:w="1462" w:type="dxa"/>
            <w:tcBorders>
              <w:top w:val="nil"/>
              <w:left w:val="nil"/>
              <w:bottom w:val="single" w:color="auto" w:sz="4" w:space="0"/>
              <w:right w:val="single" w:color="auto" w:sz="4" w:space="0"/>
            </w:tcBorders>
            <w:shd w:val="clear" w:color="auto" w:fill="auto"/>
            <w:vAlign w:val="center"/>
          </w:tcPr>
          <w:p>
            <w:pPr>
              <w:snapToGrid w:val="0"/>
              <w:spacing w:line="240" w:lineRule="exact"/>
              <w:rPr>
                <w:rFonts w:ascii="幼圆" w:hAnsi="Calibri" w:eastAsia="幼圆"/>
                <w:kern w:val="2"/>
                <w:sz w:val="21"/>
                <w:szCs w:val="21"/>
              </w:rPr>
            </w:pPr>
            <w:r>
              <w:rPr>
                <w:rFonts w:hint="eastAsia"/>
                <w:color w:val="000000"/>
                <w:sz w:val="22"/>
                <w:szCs w:val="22"/>
              </w:rPr>
              <w:t>粪便</w:t>
            </w:r>
          </w:p>
        </w:tc>
        <w:tc>
          <w:tcPr>
            <w:tcW w:w="6251" w:type="dxa"/>
            <w:tcBorders>
              <w:top w:val="nil"/>
              <w:left w:val="nil"/>
              <w:bottom w:val="single" w:color="auto" w:sz="4" w:space="0"/>
              <w:right w:val="single" w:color="auto" w:sz="4" w:space="0"/>
            </w:tcBorders>
            <w:shd w:val="clear" w:color="auto" w:fill="auto"/>
            <w:vAlign w:val="center"/>
          </w:tcPr>
          <w:p>
            <w:pPr>
              <w:widowControl/>
              <w:rPr>
                <w:rFonts w:ascii="幼圆" w:hAnsi="宋体" w:eastAsia="幼圆"/>
                <w:kern w:val="2"/>
                <w:sz w:val="21"/>
                <w:szCs w:val="21"/>
              </w:rPr>
            </w:pPr>
            <w:r>
              <w:rPr>
                <w:rFonts w:hint="eastAsia"/>
                <w:color w:val="000000"/>
                <w:sz w:val="21"/>
                <w:szCs w:val="21"/>
              </w:rPr>
              <w:t>幽门螺杆菌耐药可分原发耐药和继发耐药，后者指治疗失败后耐药。Hp 对克拉霉素、甲硝唑和左氧氟沙星的耐药率（包括多重耐药率）近几年呈上升趋势，Hp 原发耐药率克拉霉素为 20%-50%，甲硝唑为 40%-70%，左氧氟沙星为 20%-50%。调研结果显示与克拉霉素、喹诺酮类耐药相关的基因分别是 23SrRNA和 gyrA。与甲硝唑耐药相关的基因较多且突变随机，研究也都有很多不确定性。而 Hp 对阿莫西林（0%-5%）、四环素（0%-5%）和呋喃唑酮（0%-1%）的耐药率仍很低，应用这些抗生素根除 Hp 尚不需要顾虑是否耐药。因此对高耐药率的克拉霉素和喹诺酮耐药基因突变检测具有重要的临床意义。进行耐药基因突变检测，可快速全面的评价所感染的 Hp 发生耐药的情况，帮助医生采用有效的抗菌药物进行治疗，防止低效抗菌药物的滥用，提升一次治疗的根除率。</w:t>
            </w:r>
            <w:r>
              <w:rPr>
                <w:rFonts w:hint="eastAsia"/>
                <w:color w:val="000000"/>
                <w:sz w:val="21"/>
                <w:szCs w:val="21"/>
              </w:rPr>
              <w:br w:type="textWrapping"/>
            </w:r>
            <w:r>
              <w:rPr>
                <w:rFonts w:hint="eastAsia"/>
                <w:color w:val="000000"/>
                <w:sz w:val="21"/>
                <w:szCs w:val="21"/>
              </w:rPr>
              <w:t>灵敏度：50 copies/μl</w:t>
            </w:r>
            <w:r>
              <w:rPr>
                <w:rFonts w:hint="eastAsia"/>
                <w:color w:val="000000"/>
                <w:sz w:val="21"/>
                <w:szCs w:val="21"/>
              </w:rPr>
              <w:br w:type="textWrapping"/>
            </w:r>
            <w:r>
              <w:rPr>
                <w:rFonts w:hint="eastAsia"/>
                <w:color w:val="000000"/>
                <w:sz w:val="21"/>
                <w:szCs w:val="21"/>
              </w:rPr>
              <w:t>准确性：与Sager测序结果对比，符合率达到 95%以上。</w:t>
            </w:r>
            <w:r>
              <w:rPr>
                <w:rFonts w:hint="eastAsia"/>
                <w:color w:val="000000"/>
                <w:sz w:val="21"/>
                <w:szCs w:val="21"/>
              </w:rPr>
              <w:br w:type="textWrapping"/>
            </w:r>
            <w:r>
              <w:rPr>
                <w:rFonts w:hint="eastAsia"/>
                <w:color w:val="000000"/>
                <w:sz w:val="21"/>
                <w:szCs w:val="21"/>
              </w:rPr>
              <w:t>重复性：检测1份阳性精密度参考品（J），重复10次检测，结果全部为阳性。CV均应不高于5%.</w:t>
            </w:r>
            <w:r>
              <w:rPr>
                <w:rFonts w:hint="eastAsia"/>
                <w:color w:val="000000"/>
                <w:sz w:val="21"/>
                <w:szCs w:val="21"/>
              </w:rPr>
              <w:br w:type="textWrapping"/>
            </w:r>
            <w:r>
              <w:rPr>
                <w:rFonts w:hint="eastAsia"/>
                <w:color w:val="000000"/>
                <w:sz w:val="21"/>
                <w:szCs w:val="21"/>
              </w:rPr>
              <w:t>反应时间：PCR ≤ 2 hours</w:t>
            </w:r>
            <w:r>
              <w:rPr>
                <w:rFonts w:hint="eastAsia"/>
                <w:color w:val="000000"/>
                <w:sz w:val="21"/>
                <w:szCs w:val="21"/>
              </w:rPr>
              <w:br w:type="textWrapping"/>
            </w:r>
            <w:r>
              <w:rPr>
                <w:rFonts w:hint="eastAsia"/>
                <w:color w:val="000000"/>
                <w:sz w:val="21"/>
                <w:szCs w:val="21"/>
              </w:rPr>
              <w:t>样本类型：胃黏膜、胃粘膜石蜡包埋组织、粪便</w:t>
            </w:r>
          </w:p>
        </w:tc>
      </w:tr>
    </w:tbl>
    <w:p/>
    <w:sectPr>
      <w:pgSz w:w="11906" w:h="16838"/>
      <w:pgMar w:top="567" w:right="1077" w:bottom="709"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4AEF0"/>
    <w:multiLevelType w:val="singleLevel"/>
    <w:tmpl w:val="8804AEF0"/>
    <w:lvl w:ilvl="0" w:tentative="0">
      <w:start w:val="1"/>
      <w:numFmt w:val="decimal"/>
      <w:lvlText w:val="%1)"/>
      <w:lvlJc w:val="left"/>
      <w:pPr>
        <w:tabs>
          <w:tab w:val="left" w:pos="420"/>
        </w:tabs>
        <w:ind w:left="425" w:hanging="425"/>
      </w:pPr>
      <w:rPr>
        <w:rFonts w:hint="default"/>
      </w:rPr>
    </w:lvl>
  </w:abstractNum>
  <w:abstractNum w:abstractNumId="1">
    <w:nsid w:val="899A2D08"/>
    <w:multiLevelType w:val="singleLevel"/>
    <w:tmpl w:val="899A2D08"/>
    <w:lvl w:ilvl="0" w:tentative="0">
      <w:start w:val="1"/>
      <w:numFmt w:val="decimal"/>
      <w:lvlText w:val="%1)"/>
      <w:lvlJc w:val="left"/>
      <w:pPr>
        <w:tabs>
          <w:tab w:val="left" w:pos="420"/>
        </w:tabs>
        <w:ind w:left="425" w:hanging="425"/>
      </w:pPr>
      <w:rPr>
        <w:rFonts w:hint="default"/>
      </w:rPr>
    </w:lvl>
  </w:abstractNum>
  <w:abstractNum w:abstractNumId="2">
    <w:nsid w:val="935F1796"/>
    <w:multiLevelType w:val="singleLevel"/>
    <w:tmpl w:val="935F1796"/>
    <w:lvl w:ilvl="0" w:tentative="0">
      <w:start w:val="1"/>
      <w:numFmt w:val="decimal"/>
      <w:lvlText w:val="%1)"/>
      <w:lvlJc w:val="left"/>
      <w:pPr>
        <w:tabs>
          <w:tab w:val="left" w:pos="420"/>
        </w:tabs>
        <w:ind w:left="425" w:hanging="425"/>
      </w:pPr>
      <w:rPr>
        <w:rFonts w:hint="default"/>
      </w:rPr>
    </w:lvl>
  </w:abstractNum>
  <w:abstractNum w:abstractNumId="3">
    <w:nsid w:val="941260DD"/>
    <w:multiLevelType w:val="singleLevel"/>
    <w:tmpl w:val="941260DD"/>
    <w:lvl w:ilvl="0" w:tentative="0">
      <w:start w:val="1"/>
      <w:numFmt w:val="decimal"/>
      <w:lvlText w:val="%1)"/>
      <w:lvlJc w:val="left"/>
      <w:pPr>
        <w:ind w:left="440" w:hanging="440"/>
      </w:pPr>
      <w:rPr>
        <w:rFonts w:hint="default"/>
      </w:rPr>
    </w:lvl>
  </w:abstractNum>
  <w:abstractNum w:abstractNumId="4">
    <w:nsid w:val="ACC7D14E"/>
    <w:multiLevelType w:val="singleLevel"/>
    <w:tmpl w:val="ACC7D14E"/>
    <w:lvl w:ilvl="0" w:tentative="0">
      <w:start w:val="1"/>
      <w:numFmt w:val="decimal"/>
      <w:lvlText w:val="%1)"/>
      <w:lvlJc w:val="left"/>
      <w:pPr>
        <w:tabs>
          <w:tab w:val="left" w:pos="420"/>
        </w:tabs>
        <w:ind w:left="425" w:hanging="425"/>
      </w:pPr>
      <w:rPr>
        <w:rFonts w:hint="default"/>
      </w:rPr>
    </w:lvl>
  </w:abstractNum>
  <w:abstractNum w:abstractNumId="5">
    <w:nsid w:val="B99B3648"/>
    <w:multiLevelType w:val="singleLevel"/>
    <w:tmpl w:val="B99B3648"/>
    <w:lvl w:ilvl="0" w:tentative="0">
      <w:start w:val="1"/>
      <w:numFmt w:val="decimal"/>
      <w:lvlText w:val="%1)"/>
      <w:lvlJc w:val="left"/>
      <w:pPr>
        <w:tabs>
          <w:tab w:val="left" w:pos="420"/>
        </w:tabs>
        <w:ind w:left="425" w:hanging="425"/>
      </w:pPr>
      <w:rPr>
        <w:rFonts w:hint="default"/>
      </w:rPr>
    </w:lvl>
  </w:abstractNum>
  <w:abstractNum w:abstractNumId="6">
    <w:nsid w:val="C1E54A32"/>
    <w:multiLevelType w:val="singleLevel"/>
    <w:tmpl w:val="C1E54A32"/>
    <w:lvl w:ilvl="0" w:tentative="0">
      <w:start w:val="1"/>
      <w:numFmt w:val="decimal"/>
      <w:lvlText w:val="%1)"/>
      <w:lvlJc w:val="left"/>
      <w:pPr>
        <w:tabs>
          <w:tab w:val="left" w:pos="420"/>
        </w:tabs>
        <w:ind w:left="425" w:hanging="425"/>
      </w:pPr>
      <w:rPr>
        <w:rFonts w:hint="default"/>
      </w:rPr>
    </w:lvl>
  </w:abstractNum>
  <w:abstractNum w:abstractNumId="7">
    <w:nsid w:val="C8D1ADEF"/>
    <w:multiLevelType w:val="singleLevel"/>
    <w:tmpl w:val="C8D1ADEF"/>
    <w:lvl w:ilvl="0" w:tentative="0">
      <w:start w:val="1"/>
      <w:numFmt w:val="decimal"/>
      <w:lvlText w:val="%1)"/>
      <w:lvlJc w:val="left"/>
      <w:pPr>
        <w:tabs>
          <w:tab w:val="left" w:pos="420"/>
        </w:tabs>
        <w:ind w:left="425" w:hanging="425"/>
      </w:pPr>
      <w:rPr>
        <w:rFonts w:hint="default"/>
      </w:rPr>
    </w:lvl>
  </w:abstractNum>
  <w:abstractNum w:abstractNumId="8">
    <w:nsid w:val="D35FCD50"/>
    <w:multiLevelType w:val="singleLevel"/>
    <w:tmpl w:val="D35FCD50"/>
    <w:lvl w:ilvl="0" w:tentative="0">
      <w:start w:val="1"/>
      <w:numFmt w:val="decimal"/>
      <w:lvlText w:val="%1."/>
      <w:lvlJc w:val="left"/>
      <w:pPr>
        <w:ind w:left="425" w:hanging="425"/>
      </w:pPr>
      <w:rPr>
        <w:rFonts w:hint="default"/>
      </w:rPr>
    </w:lvl>
  </w:abstractNum>
  <w:abstractNum w:abstractNumId="9">
    <w:nsid w:val="D48CFB56"/>
    <w:multiLevelType w:val="singleLevel"/>
    <w:tmpl w:val="D48CFB56"/>
    <w:lvl w:ilvl="0" w:tentative="0">
      <w:start w:val="1"/>
      <w:numFmt w:val="decimal"/>
      <w:lvlText w:val="%1."/>
      <w:lvlJc w:val="left"/>
      <w:pPr>
        <w:ind w:left="425" w:hanging="425"/>
      </w:pPr>
      <w:rPr>
        <w:rFonts w:hint="default"/>
      </w:rPr>
    </w:lvl>
  </w:abstractNum>
  <w:abstractNum w:abstractNumId="10">
    <w:nsid w:val="E3BB78D4"/>
    <w:multiLevelType w:val="singleLevel"/>
    <w:tmpl w:val="E3BB78D4"/>
    <w:lvl w:ilvl="0" w:tentative="0">
      <w:start w:val="1"/>
      <w:numFmt w:val="decimal"/>
      <w:lvlText w:val="%1)"/>
      <w:lvlJc w:val="left"/>
      <w:pPr>
        <w:tabs>
          <w:tab w:val="left" w:pos="420"/>
        </w:tabs>
        <w:ind w:left="425" w:hanging="425"/>
      </w:pPr>
      <w:rPr>
        <w:rFonts w:hint="default"/>
      </w:rPr>
    </w:lvl>
  </w:abstractNum>
  <w:abstractNum w:abstractNumId="11">
    <w:nsid w:val="E46EA2A8"/>
    <w:multiLevelType w:val="singleLevel"/>
    <w:tmpl w:val="E46EA2A8"/>
    <w:lvl w:ilvl="0" w:tentative="0">
      <w:start w:val="1"/>
      <w:numFmt w:val="decimal"/>
      <w:lvlText w:val="%1)"/>
      <w:lvlJc w:val="left"/>
      <w:pPr>
        <w:tabs>
          <w:tab w:val="left" w:pos="420"/>
        </w:tabs>
        <w:ind w:left="425" w:hanging="425"/>
      </w:pPr>
      <w:rPr>
        <w:rFonts w:hint="default"/>
      </w:rPr>
    </w:lvl>
  </w:abstractNum>
  <w:abstractNum w:abstractNumId="12">
    <w:nsid w:val="E7F16389"/>
    <w:multiLevelType w:val="singleLevel"/>
    <w:tmpl w:val="E7F16389"/>
    <w:lvl w:ilvl="0" w:tentative="0">
      <w:start w:val="4"/>
      <w:numFmt w:val="chineseCounting"/>
      <w:suff w:val="nothing"/>
      <w:lvlText w:val="%1、"/>
      <w:lvlJc w:val="left"/>
      <w:pPr>
        <w:ind w:left="-420"/>
      </w:pPr>
      <w:rPr>
        <w:rFonts w:hint="eastAsia"/>
      </w:rPr>
    </w:lvl>
  </w:abstractNum>
  <w:abstractNum w:abstractNumId="13">
    <w:nsid w:val="F0F366B6"/>
    <w:multiLevelType w:val="singleLevel"/>
    <w:tmpl w:val="F0F366B6"/>
    <w:lvl w:ilvl="0" w:tentative="0">
      <w:start w:val="1"/>
      <w:numFmt w:val="decimal"/>
      <w:lvlText w:val="%1)"/>
      <w:lvlJc w:val="left"/>
      <w:pPr>
        <w:tabs>
          <w:tab w:val="left" w:pos="420"/>
        </w:tabs>
        <w:ind w:left="425" w:hanging="425"/>
      </w:pPr>
      <w:rPr>
        <w:rFonts w:hint="default"/>
      </w:rPr>
    </w:lvl>
  </w:abstractNum>
  <w:abstractNum w:abstractNumId="14">
    <w:nsid w:val="FAEF146E"/>
    <w:multiLevelType w:val="singleLevel"/>
    <w:tmpl w:val="FAEF146E"/>
    <w:lvl w:ilvl="0" w:tentative="0">
      <w:start w:val="1"/>
      <w:numFmt w:val="decimal"/>
      <w:lvlText w:val="%1)"/>
      <w:lvlJc w:val="left"/>
      <w:pPr>
        <w:tabs>
          <w:tab w:val="left" w:pos="420"/>
        </w:tabs>
        <w:ind w:left="425" w:hanging="425"/>
      </w:pPr>
      <w:rPr>
        <w:rFonts w:hint="default"/>
      </w:rPr>
    </w:lvl>
  </w:abstractNum>
  <w:abstractNum w:abstractNumId="15">
    <w:nsid w:val="FE783863"/>
    <w:multiLevelType w:val="singleLevel"/>
    <w:tmpl w:val="FE783863"/>
    <w:lvl w:ilvl="0" w:tentative="0">
      <w:start w:val="1"/>
      <w:numFmt w:val="decimal"/>
      <w:lvlText w:val="%1)"/>
      <w:lvlJc w:val="left"/>
      <w:pPr>
        <w:tabs>
          <w:tab w:val="left" w:pos="420"/>
        </w:tabs>
        <w:ind w:left="425" w:hanging="425"/>
      </w:pPr>
      <w:rPr>
        <w:rFonts w:hint="default"/>
      </w:rPr>
    </w:lvl>
  </w:abstractNum>
  <w:abstractNum w:abstractNumId="16">
    <w:nsid w:val="02978BC4"/>
    <w:multiLevelType w:val="singleLevel"/>
    <w:tmpl w:val="02978BC4"/>
    <w:lvl w:ilvl="0" w:tentative="0">
      <w:start w:val="1"/>
      <w:numFmt w:val="decimal"/>
      <w:lvlText w:val="%1)"/>
      <w:lvlJc w:val="left"/>
      <w:pPr>
        <w:tabs>
          <w:tab w:val="left" w:pos="420"/>
        </w:tabs>
        <w:ind w:left="425" w:hanging="425"/>
      </w:pPr>
      <w:rPr>
        <w:rFonts w:hint="default"/>
      </w:rPr>
    </w:lvl>
  </w:abstractNum>
  <w:abstractNum w:abstractNumId="17">
    <w:nsid w:val="09F5B19F"/>
    <w:multiLevelType w:val="singleLevel"/>
    <w:tmpl w:val="09F5B19F"/>
    <w:lvl w:ilvl="0" w:tentative="0">
      <w:start w:val="1"/>
      <w:numFmt w:val="decimal"/>
      <w:lvlText w:val="%1)"/>
      <w:lvlJc w:val="left"/>
      <w:pPr>
        <w:tabs>
          <w:tab w:val="left" w:pos="420"/>
        </w:tabs>
        <w:ind w:left="425" w:hanging="425"/>
      </w:pPr>
      <w:rPr>
        <w:rFonts w:hint="default"/>
      </w:rPr>
    </w:lvl>
  </w:abstractNum>
  <w:abstractNum w:abstractNumId="18">
    <w:nsid w:val="0B1CB4B6"/>
    <w:multiLevelType w:val="singleLevel"/>
    <w:tmpl w:val="0B1CB4B6"/>
    <w:lvl w:ilvl="0" w:tentative="0">
      <w:start w:val="1"/>
      <w:numFmt w:val="decimal"/>
      <w:lvlText w:val="%1)"/>
      <w:lvlJc w:val="left"/>
      <w:pPr>
        <w:tabs>
          <w:tab w:val="left" w:pos="420"/>
        </w:tabs>
        <w:ind w:left="425" w:hanging="425"/>
      </w:pPr>
      <w:rPr>
        <w:rFonts w:hint="default"/>
      </w:rPr>
    </w:lvl>
  </w:abstractNum>
  <w:abstractNum w:abstractNumId="19">
    <w:nsid w:val="0F8FF6D0"/>
    <w:multiLevelType w:val="singleLevel"/>
    <w:tmpl w:val="0F8FF6D0"/>
    <w:lvl w:ilvl="0" w:tentative="0">
      <w:start w:val="1"/>
      <w:numFmt w:val="decimal"/>
      <w:lvlText w:val="(%1)"/>
      <w:lvlJc w:val="left"/>
      <w:pPr>
        <w:ind w:left="425" w:hanging="425"/>
      </w:pPr>
      <w:rPr>
        <w:rFonts w:hint="default"/>
      </w:rPr>
    </w:lvl>
  </w:abstractNum>
  <w:abstractNum w:abstractNumId="20">
    <w:nsid w:val="145C5000"/>
    <w:multiLevelType w:val="singleLevel"/>
    <w:tmpl w:val="145C5000"/>
    <w:lvl w:ilvl="0" w:tentative="0">
      <w:start w:val="1"/>
      <w:numFmt w:val="decimal"/>
      <w:lvlText w:val="%1)"/>
      <w:lvlJc w:val="left"/>
      <w:pPr>
        <w:ind w:left="425" w:hanging="425"/>
      </w:pPr>
      <w:rPr>
        <w:rFonts w:hint="default"/>
      </w:rPr>
    </w:lvl>
  </w:abstractNum>
  <w:abstractNum w:abstractNumId="21">
    <w:nsid w:val="180315B5"/>
    <w:multiLevelType w:val="singleLevel"/>
    <w:tmpl w:val="180315B5"/>
    <w:lvl w:ilvl="0" w:tentative="0">
      <w:start w:val="1"/>
      <w:numFmt w:val="decimal"/>
      <w:lvlText w:val="%1)"/>
      <w:lvlJc w:val="left"/>
      <w:pPr>
        <w:tabs>
          <w:tab w:val="left" w:pos="420"/>
        </w:tabs>
        <w:ind w:left="425" w:hanging="425"/>
      </w:pPr>
      <w:rPr>
        <w:rFonts w:hint="default"/>
      </w:rPr>
    </w:lvl>
  </w:abstractNum>
  <w:abstractNum w:abstractNumId="22">
    <w:nsid w:val="19AF64EF"/>
    <w:multiLevelType w:val="singleLevel"/>
    <w:tmpl w:val="19AF64EF"/>
    <w:lvl w:ilvl="0" w:tentative="0">
      <w:start w:val="1"/>
      <w:numFmt w:val="decimal"/>
      <w:lvlText w:val="%1)"/>
      <w:lvlJc w:val="left"/>
      <w:pPr>
        <w:tabs>
          <w:tab w:val="left" w:pos="420"/>
        </w:tabs>
        <w:ind w:left="425" w:hanging="425"/>
      </w:pPr>
      <w:rPr>
        <w:rFonts w:hint="default"/>
      </w:rPr>
    </w:lvl>
  </w:abstractNum>
  <w:abstractNum w:abstractNumId="23">
    <w:nsid w:val="24B20F5E"/>
    <w:multiLevelType w:val="singleLevel"/>
    <w:tmpl w:val="24B20F5E"/>
    <w:lvl w:ilvl="0" w:tentative="0">
      <w:start w:val="1"/>
      <w:numFmt w:val="decimal"/>
      <w:lvlText w:val="%1)"/>
      <w:lvlJc w:val="left"/>
      <w:pPr>
        <w:tabs>
          <w:tab w:val="left" w:pos="420"/>
        </w:tabs>
        <w:ind w:left="425" w:hanging="425"/>
      </w:pPr>
      <w:rPr>
        <w:rFonts w:hint="default"/>
      </w:rPr>
    </w:lvl>
  </w:abstractNum>
  <w:abstractNum w:abstractNumId="24">
    <w:nsid w:val="29123FE1"/>
    <w:multiLevelType w:val="singleLevel"/>
    <w:tmpl w:val="29123FE1"/>
    <w:lvl w:ilvl="0" w:tentative="0">
      <w:start w:val="1"/>
      <w:numFmt w:val="decimal"/>
      <w:lvlText w:val="%1)"/>
      <w:lvlJc w:val="left"/>
      <w:pPr>
        <w:tabs>
          <w:tab w:val="left" w:pos="420"/>
        </w:tabs>
        <w:ind w:left="425" w:hanging="425"/>
      </w:pPr>
      <w:rPr>
        <w:rFonts w:hint="default"/>
      </w:rPr>
    </w:lvl>
  </w:abstractNum>
  <w:abstractNum w:abstractNumId="25">
    <w:nsid w:val="3AA601DA"/>
    <w:multiLevelType w:val="singleLevel"/>
    <w:tmpl w:val="3AA601DA"/>
    <w:lvl w:ilvl="0" w:tentative="0">
      <w:start w:val="1"/>
      <w:numFmt w:val="decimal"/>
      <w:lvlText w:val="%1."/>
      <w:lvlJc w:val="left"/>
      <w:pPr>
        <w:ind w:left="425" w:hanging="425"/>
      </w:pPr>
      <w:rPr>
        <w:rFonts w:hint="default"/>
      </w:rPr>
    </w:lvl>
  </w:abstractNum>
  <w:abstractNum w:abstractNumId="26">
    <w:nsid w:val="3DE73EB1"/>
    <w:multiLevelType w:val="singleLevel"/>
    <w:tmpl w:val="3DE73EB1"/>
    <w:lvl w:ilvl="0" w:tentative="0">
      <w:start w:val="1"/>
      <w:numFmt w:val="decimal"/>
      <w:lvlText w:val="%1)"/>
      <w:lvlJc w:val="left"/>
      <w:pPr>
        <w:tabs>
          <w:tab w:val="left" w:pos="420"/>
        </w:tabs>
        <w:ind w:left="425" w:hanging="425"/>
      </w:pPr>
      <w:rPr>
        <w:rFonts w:hint="default"/>
      </w:rPr>
    </w:lvl>
  </w:abstractNum>
  <w:abstractNum w:abstractNumId="27">
    <w:nsid w:val="3E30CA53"/>
    <w:multiLevelType w:val="singleLevel"/>
    <w:tmpl w:val="3E30CA53"/>
    <w:lvl w:ilvl="0" w:tentative="0">
      <w:start w:val="1"/>
      <w:numFmt w:val="decimal"/>
      <w:lvlText w:val="%1)"/>
      <w:lvlJc w:val="left"/>
      <w:pPr>
        <w:tabs>
          <w:tab w:val="left" w:pos="420"/>
        </w:tabs>
        <w:ind w:left="425" w:hanging="425"/>
      </w:pPr>
      <w:rPr>
        <w:rFonts w:hint="default"/>
      </w:rPr>
    </w:lvl>
  </w:abstractNum>
  <w:abstractNum w:abstractNumId="28">
    <w:nsid w:val="3E3838EE"/>
    <w:multiLevelType w:val="singleLevel"/>
    <w:tmpl w:val="3E3838EE"/>
    <w:lvl w:ilvl="0" w:tentative="0">
      <w:start w:val="1"/>
      <w:numFmt w:val="decimal"/>
      <w:lvlText w:val="%1)"/>
      <w:lvlJc w:val="left"/>
      <w:pPr>
        <w:tabs>
          <w:tab w:val="left" w:pos="420"/>
        </w:tabs>
        <w:ind w:left="425" w:hanging="425"/>
      </w:pPr>
      <w:rPr>
        <w:rFonts w:hint="default"/>
      </w:rPr>
    </w:lvl>
  </w:abstractNum>
  <w:abstractNum w:abstractNumId="29">
    <w:nsid w:val="404272CB"/>
    <w:multiLevelType w:val="multilevel"/>
    <w:tmpl w:val="404272C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4B469686"/>
    <w:multiLevelType w:val="singleLevel"/>
    <w:tmpl w:val="4B469686"/>
    <w:lvl w:ilvl="0" w:tentative="0">
      <w:start w:val="1"/>
      <w:numFmt w:val="decimal"/>
      <w:lvlText w:val="%1)"/>
      <w:lvlJc w:val="left"/>
      <w:pPr>
        <w:tabs>
          <w:tab w:val="left" w:pos="420"/>
        </w:tabs>
        <w:ind w:left="425" w:hanging="425"/>
      </w:pPr>
      <w:rPr>
        <w:rFonts w:hint="default"/>
      </w:rPr>
    </w:lvl>
  </w:abstractNum>
  <w:abstractNum w:abstractNumId="31">
    <w:nsid w:val="4F3425B3"/>
    <w:multiLevelType w:val="singleLevel"/>
    <w:tmpl w:val="4F3425B3"/>
    <w:lvl w:ilvl="0" w:tentative="0">
      <w:start w:val="1"/>
      <w:numFmt w:val="decimal"/>
      <w:lvlText w:val="%1)"/>
      <w:lvlJc w:val="left"/>
      <w:pPr>
        <w:tabs>
          <w:tab w:val="left" w:pos="420"/>
        </w:tabs>
        <w:ind w:left="425" w:hanging="425"/>
      </w:pPr>
      <w:rPr>
        <w:rFonts w:hint="default"/>
      </w:rPr>
    </w:lvl>
  </w:abstractNum>
  <w:abstractNum w:abstractNumId="32">
    <w:nsid w:val="506A31D4"/>
    <w:multiLevelType w:val="multilevel"/>
    <w:tmpl w:val="506A31D4"/>
    <w:lvl w:ilvl="0" w:tentative="0">
      <w:start w:val="1"/>
      <w:numFmt w:val="decimal"/>
      <w:lvlText w:val="%1."/>
      <w:lvlJc w:val="left"/>
      <w:pPr>
        <w:ind w:left="360" w:hanging="360"/>
      </w:pPr>
      <w:rPr>
        <w:rFonts w:hint="default" w:ascii="宋体" w:hAnsi="宋体" w:cstheme="minorBidi"/>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3">
    <w:nsid w:val="54236798"/>
    <w:multiLevelType w:val="singleLevel"/>
    <w:tmpl w:val="54236798"/>
    <w:lvl w:ilvl="0" w:tentative="0">
      <w:start w:val="1"/>
      <w:numFmt w:val="decimal"/>
      <w:lvlText w:val="%1)"/>
      <w:lvlJc w:val="left"/>
      <w:pPr>
        <w:tabs>
          <w:tab w:val="left" w:pos="420"/>
        </w:tabs>
        <w:ind w:left="425" w:hanging="425"/>
      </w:pPr>
      <w:rPr>
        <w:rFonts w:hint="default"/>
      </w:rPr>
    </w:lvl>
  </w:abstractNum>
  <w:abstractNum w:abstractNumId="34">
    <w:nsid w:val="581E3A28"/>
    <w:multiLevelType w:val="multilevel"/>
    <w:tmpl w:val="581E3A2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5C695FCB"/>
    <w:multiLevelType w:val="multilevel"/>
    <w:tmpl w:val="5C695FC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5D684E1D"/>
    <w:multiLevelType w:val="singleLevel"/>
    <w:tmpl w:val="5D684E1D"/>
    <w:lvl w:ilvl="0" w:tentative="0">
      <w:start w:val="1"/>
      <w:numFmt w:val="decimal"/>
      <w:lvlText w:val="%1)"/>
      <w:lvlJc w:val="left"/>
      <w:pPr>
        <w:tabs>
          <w:tab w:val="left" w:pos="420"/>
        </w:tabs>
        <w:ind w:left="425" w:hanging="425"/>
      </w:pPr>
      <w:rPr>
        <w:rFonts w:hint="default"/>
      </w:rPr>
    </w:lvl>
  </w:abstractNum>
  <w:abstractNum w:abstractNumId="37">
    <w:nsid w:val="70AEC30F"/>
    <w:multiLevelType w:val="singleLevel"/>
    <w:tmpl w:val="70AEC30F"/>
    <w:lvl w:ilvl="0" w:tentative="0">
      <w:start w:val="1"/>
      <w:numFmt w:val="decimal"/>
      <w:lvlText w:val="%1)"/>
      <w:lvlJc w:val="left"/>
      <w:pPr>
        <w:tabs>
          <w:tab w:val="left" w:pos="420"/>
        </w:tabs>
        <w:ind w:left="425" w:hanging="425"/>
      </w:pPr>
      <w:rPr>
        <w:rFonts w:hint="default"/>
      </w:rPr>
    </w:lvl>
  </w:abstractNum>
  <w:abstractNum w:abstractNumId="38">
    <w:nsid w:val="70D26BC3"/>
    <w:multiLevelType w:val="singleLevel"/>
    <w:tmpl w:val="70D26BC3"/>
    <w:lvl w:ilvl="0" w:tentative="0">
      <w:start w:val="1"/>
      <w:numFmt w:val="decimal"/>
      <w:lvlText w:val="%1)"/>
      <w:lvlJc w:val="left"/>
      <w:pPr>
        <w:tabs>
          <w:tab w:val="left" w:pos="420"/>
        </w:tabs>
        <w:ind w:left="425" w:hanging="425"/>
      </w:pPr>
      <w:rPr>
        <w:rFonts w:hint="default"/>
      </w:rPr>
    </w:lvl>
  </w:abstractNum>
  <w:num w:numId="1">
    <w:abstractNumId w:val="8"/>
  </w:num>
  <w:num w:numId="2">
    <w:abstractNumId w:val="9"/>
  </w:num>
  <w:num w:numId="3">
    <w:abstractNumId w:val="25"/>
  </w:num>
  <w:num w:numId="4">
    <w:abstractNumId w:val="12"/>
  </w:num>
  <w:num w:numId="5">
    <w:abstractNumId w:val="19"/>
  </w:num>
  <w:num w:numId="6">
    <w:abstractNumId w:val="20"/>
  </w:num>
  <w:num w:numId="7">
    <w:abstractNumId w:val="5"/>
  </w:num>
  <w:num w:numId="8">
    <w:abstractNumId w:val="38"/>
  </w:num>
  <w:num w:numId="9">
    <w:abstractNumId w:val="24"/>
  </w:num>
  <w:num w:numId="10">
    <w:abstractNumId w:val="4"/>
  </w:num>
  <w:num w:numId="11">
    <w:abstractNumId w:val="7"/>
  </w:num>
  <w:num w:numId="12">
    <w:abstractNumId w:val="28"/>
  </w:num>
  <w:num w:numId="13">
    <w:abstractNumId w:val="16"/>
  </w:num>
  <w:num w:numId="14">
    <w:abstractNumId w:val="2"/>
  </w:num>
  <w:num w:numId="15">
    <w:abstractNumId w:val="26"/>
  </w:num>
  <w:num w:numId="16">
    <w:abstractNumId w:val="1"/>
  </w:num>
  <w:num w:numId="17">
    <w:abstractNumId w:val="21"/>
  </w:num>
  <w:num w:numId="18">
    <w:abstractNumId w:val="0"/>
  </w:num>
  <w:num w:numId="19">
    <w:abstractNumId w:val="6"/>
  </w:num>
  <w:num w:numId="20">
    <w:abstractNumId w:val="30"/>
  </w:num>
  <w:num w:numId="21">
    <w:abstractNumId w:val="37"/>
  </w:num>
  <w:num w:numId="22">
    <w:abstractNumId w:val="27"/>
  </w:num>
  <w:num w:numId="23">
    <w:abstractNumId w:val="18"/>
  </w:num>
  <w:num w:numId="24">
    <w:abstractNumId w:val="15"/>
  </w:num>
  <w:num w:numId="25">
    <w:abstractNumId w:val="14"/>
  </w:num>
  <w:num w:numId="26">
    <w:abstractNumId w:val="22"/>
  </w:num>
  <w:num w:numId="27">
    <w:abstractNumId w:val="13"/>
  </w:num>
  <w:num w:numId="28">
    <w:abstractNumId w:val="33"/>
  </w:num>
  <w:num w:numId="29">
    <w:abstractNumId w:val="31"/>
  </w:num>
  <w:num w:numId="30">
    <w:abstractNumId w:val="17"/>
  </w:num>
  <w:num w:numId="31">
    <w:abstractNumId w:val="11"/>
  </w:num>
  <w:num w:numId="32">
    <w:abstractNumId w:val="10"/>
  </w:num>
  <w:num w:numId="33">
    <w:abstractNumId w:val="36"/>
  </w:num>
  <w:num w:numId="34">
    <w:abstractNumId w:val="23"/>
  </w:num>
  <w:num w:numId="35">
    <w:abstractNumId w:val="3"/>
  </w:num>
  <w:num w:numId="36">
    <w:abstractNumId w:val="34"/>
  </w:num>
  <w:num w:numId="37">
    <w:abstractNumId w:val="35"/>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0NjRjZDE5M2JmM2M2MzJhNWIxZmRmZjUxOWJmMmMifQ=="/>
  </w:docVars>
  <w:rsids>
    <w:rsidRoot w:val="00172A27"/>
    <w:rsid w:val="001537FC"/>
    <w:rsid w:val="00172A27"/>
    <w:rsid w:val="002B539C"/>
    <w:rsid w:val="003A5C42"/>
    <w:rsid w:val="00455075"/>
    <w:rsid w:val="00602324"/>
    <w:rsid w:val="00667DB3"/>
    <w:rsid w:val="0092087D"/>
    <w:rsid w:val="009F5EF0"/>
    <w:rsid w:val="00BB4572"/>
    <w:rsid w:val="00BC3DA6"/>
    <w:rsid w:val="00BC5709"/>
    <w:rsid w:val="00BD20BC"/>
    <w:rsid w:val="00C6516B"/>
    <w:rsid w:val="00C90DFB"/>
    <w:rsid w:val="00DE4B2D"/>
    <w:rsid w:val="00E16EFC"/>
    <w:rsid w:val="00FC158F"/>
    <w:rsid w:val="00FD40C0"/>
    <w:rsid w:val="04753582"/>
    <w:rsid w:val="1F362359"/>
    <w:rsid w:val="24194B61"/>
    <w:rsid w:val="2D97035B"/>
    <w:rsid w:val="35970AD2"/>
    <w:rsid w:val="36594C71"/>
    <w:rsid w:val="37136EFA"/>
    <w:rsid w:val="413904CB"/>
    <w:rsid w:val="48204586"/>
    <w:rsid w:val="4BC507BD"/>
    <w:rsid w:val="66CD603C"/>
    <w:rsid w:val="671B54D2"/>
    <w:rsid w:val="6B4D2D85"/>
    <w:rsid w:val="FF6D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华文仿宋" w:hAnsi="华文仿宋" w:eastAsia="华文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tabs>
        <w:tab w:val="center" w:pos="4153"/>
        <w:tab w:val="right" w:pos="8306"/>
      </w:tabs>
      <w:snapToGrid w:val="0"/>
      <w:jc w:val="center"/>
    </w:pPr>
    <w:rPr>
      <w:sz w:val="18"/>
      <w:szCs w:val="18"/>
    </w:rPr>
  </w:style>
  <w:style w:type="table" w:styleId="5">
    <w:name w:val="Table Grid"/>
    <w:basedOn w:val="4"/>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2"/>
    <w:basedOn w:val="1"/>
    <w:qFormat/>
    <w:uiPriority w:val="0"/>
    <w:pPr>
      <w:ind w:firstLine="420" w:firstLineChars="200"/>
    </w:p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0"/>
    <w:rPr>
      <w:rFonts w:ascii="宋体" w:hAnsi="Times New Roman" w:eastAsia="宋体"/>
      <w:sz w:val="18"/>
      <w:szCs w:val="18"/>
    </w:rPr>
  </w:style>
  <w:style w:type="character" w:customStyle="1" w:styleId="11">
    <w:name w:val="页脚 字符"/>
    <w:basedOn w:val="6"/>
    <w:link w:val="2"/>
    <w:qFormat/>
    <w:uiPriority w:val="0"/>
    <w:rPr>
      <w:rFonts w:ascii="宋体" w:hAnsi="Times New Roman"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10430</Words>
  <Characters>11731</Characters>
  <Lines>90</Lines>
  <Paragraphs>25</Paragraphs>
  <TotalTime>104</TotalTime>
  <ScaleCrop>false</ScaleCrop>
  <LinksUpToDate>false</LinksUpToDate>
  <CharactersWithSpaces>11803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2023-06-26T10:53:00Z</dcterms:created>
  <dc:creator>......</dc:creator>
  <cp:lastModifiedBy>✨✨</cp:lastModifiedBy>
  <dcterms:modified xsi:type="dcterms:W3CDTF">2023-07-20T03:35:18Z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3DF4537B4BC8DB31BE1F9064BCDF6B35_43</vt:lpwstr>
  </property>
</Properties>
</file>