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F1" w:rsidRPr="00CF35F1" w:rsidRDefault="00CF35F1" w:rsidP="00CF35F1">
      <w:pPr>
        <w:autoSpaceDN w:val="0"/>
        <w:snapToGrid w:val="0"/>
        <w:spacing w:line="360" w:lineRule="auto"/>
        <w:jc w:val="center"/>
        <w:rPr>
          <w:rFonts w:ascii="宋体" w:hAnsi="宋体"/>
          <w:b/>
          <w:color w:val="000000" w:themeColor="text1"/>
          <w:sz w:val="28"/>
          <w:szCs w:val="28"/>
        </w:rPr>
      </w:pPr>
      <w:r w:rsidRPr="00CF35F1">
        <w:rPr>
          <w:rFonts w:ascii="宋体" w:hAnsi="宋体" w:hint="eastAsia"/>
          <w:b/>
          <w:color w:val="000000" w:themeColor="text1"/>
          <w:sz w:val="28"/>
          <w:szCs w:val="28"/>
        </w:rPr>
        <w:t>用户需求</w:t>
      </w:r>
    </w:p>
    <w:p w:rsidR="00CF35F1" w:rsidRDefault="00CF35F1" w:rsidP="00CF35F1">
      <w:pPr>
        <w:numPr>
          <w:ilvl w:val="0"/>
          <w:numId w:val="1"/>
        </w:numPr>
        <w:tabs>
          <w:tab w:val="left" w:pos="284"/>
          <w:tab w:val="left" w:pos="426"/>
        </w:tabs>
        <w:autoSpaceDN w:val="0"/>
        <w:snapToGrid w:val="0"/>
        <w:spacing w:line="360" w:lineRule="auto"/>
        <w:jc w:val="left"/>
        <w:rPr>
          <w:rFonts w:ascii="宋体" w:hAnsi="宋体"/>
          <w:b/>
          <w:color w:val="000000" w:themeColor="text1"/>
          <w:szCs w:val="21"/>
        </w:rPr>
      </w:pPr>
      <w:r>
        <w:rPr>
          <w:rFonts w:ascii="宋体" w:hAnsi="宋体" w:hint="eastAsia"/>
          <w:b/>
          <w:color w:val="000000" w:themeColor="text1"/>
          <w:szCs w:val="21"/>
        </w:rPr>
        <w:t>项目概况</w:t>
      </w:r>
    </w:p>
    <w:p w:rsidR="00662048" w:rsidRPr="00662048" w:rsidRDefault="00B201F3" w:rsidP="00662048">
      <w:pPr>
        <w:tabs>
          <w:tab w:val="left" w:pos="284"/>
          <w:tab w:val="left" w:pos="426"/>
        </w:tabs>
        <w:autoSpaceDN w:val="0"/>
        <w:snapToGrid w:val="0"/>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介入科复合手术室新装修增加</w:t>
      </w:r>
      <w:r w:rsidR="00662048" w:rsidRPr="00662048">
        <w:rPr>
          <w:rFonts w:ascii="宋体" w:hAnsi="宋体" w:hint="eastAsia"/>
          <w:bCs/>
          <w:color w:val="000000" w:themeColor="text1"/>
          <w:szCs w:val="21"/>
        </w:rPr>
        <w:t>新设备，需要从3#楼</w:t>
      </w:r>
      <w:r w:rsidR="00662048">
        <w:rPr>
          <w:rFonts w:ascii="宋体" w:hAnsi="宋体" w:hint="eastAsia"/>
          <w:bCs/>
          <w:color w:val="000000" w:themeColor="text1"/>
          <w:szCs w:val="21"/>
        </w:rPr>
        <w:t>负一楼低压配电房</w:t>
      </w:r>
      <w:r w:rsidR="00662048" w:rsidRPr="00662048">
        <w:rPr>
          <w:rFonts w:ascii="宋体" w:hAnsi="宋体" w:hint="eastAsia"/>
          <w:bCs/>
          <w:color w:val="000000" w:themeColor="text1"/>
          <w:szCs w:val="21"/>
        </w:rPr>
        <w:t>敷设一条</w:t>
      </w:r>
      <w:r w:rsidR="00662048">
        <w:rPr>
          <w:rFonts w:ascii="宋体" w:hAnsi="宋体" w:hint="eastAsia"/>
          <w:bCs/>
          <w:color w:val="000000" w:themeColor="text1"/>
          <w:szCs w:val="21"/>
        </w:rPr>
        <w:t>长约76米的</w:t>
      </w:r>
      <w:r w:rsidR="00662048" w:rsidRPr="00662048">
        <w:rPr>
          <w:rFonts w:ascii="宋体" w:hAnsi="宋体" w:hint="eastAsia"/>
          <w:bCs/>
          <w:color w:val="000000" w:themeColor="text1"/>
          <w:szCs w:val="21"/>
        </w:rPr>
        <w:t>4*300+1*150mm2的供电电缆</w:t>
      </w:r>
      <w:r w:rsidR="00662048">
        <w:rPr>
          <w:rFonts w:ascii="宋体" w:hAnsi="宋体" w:hint="eastAsia"/>
          <w:bCs/>
          <w:color w:val="000000" w:themeColor="text1"/>
          <w:szCs w:val="21"/>
        </w:rPr>
        <w:t>，需拆除天花安装电缆桥架</w:t>
      </w:r>
      <w:r w:rsidR="00662048" w:rsidRPr="00662048">
        <w:rPr>
          <w:rFonts w:ascii="宋体" w:hAnsi="宋体" w:hint="eastAsia"/>
          <w:bCs/>
          <w:color w:val="000000" w:themeColor="text1"/>
          <w:szCs w:val="21"/>
        </w:rPr>
        <w:t>。</w:t>
      </w:r>
      <w:r w:rsidR="00662048">
        <w:rPr>
          <w:rFonts w:ascii="宋体" w:hAnsi="宋体" w:hint="eastAsia"/>
          <w:bCs/>
          <w:color w:val="000000" w:themeColor="text1"/>
          <w:szCs w:val="21"/>
        </w:rPr>
        <w:t>低压配电房需要改造一个配电柜，安装一个1000A的低压断路器开关及配套仪器仪表。介入科手术</w:t>
      </w:r>
      <w:r w:rsidR="00B64D33">
        <w:rPr>
          <w:rFonts w:ascii="宋体" w:hAnsi="宋体" w:hint="eastAsia"/>
          <w:bCs/>
          <w:color w:val="000000" w:themeColor="text1"/>
          <w:szCs w:val="21"/>
        </w:rPr>
        <w:t>室</w:t>
      </w:r>
      <w:r w:rsidR="00662048">
        <w:rPr>
          <w:rFonts w:ascii="宋体" w:hAnsi="宋体" w:hint="eastAsia"/>
          <w:bCs/>
          <w:color w:val="000000" w:themeColor="text1"/>
          <w:szCs w:val="21"/>
        </w:rPr>
        <w:t>内需要新安装一个配电柜，其中800A总开关一个，400A开关一个，250A开关四个。</w:t>
      </w:r>
      <w:r w:rsidR="00BD2500" w:rsidRPr="00BD2500">
        <w:rPr>
          <w:rFonts w:ascii="宋体" w:hAnsi="宋体" w:hint="eastAsia"/>
          <w:bCs/>
          <w:color w:val="000000" w:themeColor="text1"/>
          <w:szCs w:val="21"/>
        </w:rPr>
        <w:t>项目材料设备清单</w:t>
      </w:r>
      <w:r w:rsidR="00AD558D">
        <w:rPr>
          <w:rFonts w:ascii="宋体" w:hAnsi="宋体" w:hint="eastAsia"/>
          <w:bCs/>
          <w:color w:val="000000" w:themeColor="text1"/>
          <w:szCs w:val="21"/>
        </w:rPr>
        <w:t>见附件</w:t>
      </w:r>
      <w:r w:rsidR="004C4C77">
        <w:rPr>
          <w:rFonts w:ascii="宋体" w:hAnsi="宋体" w:hint="eastAsia"/>
          <w:bCs/>
          <w:color w:val="000000" w:themeColor="text1"/>
          <w:szCs w:val="21"/>
        </w:rPr>
        <w:t>1</w:t>
      </w:r>
      <w:r w:rsidR="00BD2500">
        <w:rPr>
          <w:rFonts w:ascii="宋体" w:hAnsi="宋体" w:hint="eastAsia"/>
          <w:bCs/>
          <w:color w:val="000000" w:themeColor="text1"/>
          <w:szCs w:val="21"/>
        </w:rPr>
        <w:t>一.</w:t>
      </w:r>
    </w:p>
    <w:p w:rsidR="003454FE" w:rsidRPr="00BD2500" w:rsidRDefault="003454FE" w:rsidP="008D2E3C">
      <w:pPr>
        <w:pStyle w:val="a4"/>
        <w:widowControl/>
        <w:numPr>
          <w:ilvl w:val="0"/>
          <w:numId w:val="15"/>
        </w:numPr>
        <w:spacing w:line="360" w:lineRule="auto"/>
        <w:ind w:firstLineChars="0"/>
        <w:rPr>
          <w:rFonts w:ascii="宋体" w:hAnsi="宋体"/>
          <w:bCs/>
          <w:color w:val="000000" w:themeColor="text1"/>
          <w:kern w:val="2"/>
          <w:sz w:val="21"/>
          <w:szCs w:val="21"/>
        </w:rPr>
      </w:pPr>
      <w:r w:rsidRPr="00BD2500">
        <w:rPr>
          <w:rFonts w:ascii="宋体" w:hAnsi="宋体"/>
          <w:bCs/>
          <w:color w:val="000000" w:themeColor="text1"/>
          <w:kern w:val="2"/>
          <w:sz w:val="21"/>
          <w:szCs w:val="21"/>
        </w:rPr>
        <w:t>具体要求及标准</w:t>
      </w:r>
    </w:p>
    <w:p w:rsidR="003454FE" w:rsidRPr="0002255A" w:rsidRDefault="0002255A" w:rsidP="0002255A">
      <w:pPr>
        <w:widowControl/>
        <w:spacing w:line="360" w:lineRule="auto"/>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1.</w:t>
      </w:r>
      <w:r w:rsidR="003454FE" w:rsidRPr="0002255A">
        <w:rPr>
          <w:rFonts w:asciiTheme="minorEastAsia" w:eastAsiaTheme="minorEastAsia" w:hAnsiTheme="minorEastAsia" w:cstheme="minorBidi" w:hint="eastAsia"/>
          <w:color w:val="000000" w:themeColor="text1"/>
          <w:szCs w:val="21"/>
        </w:rPr>
        <w:t>总体要求</w:t>
      </w:r>
    </w:p>
    <w:p w:rsidR="003454FE" w:rsidRDefault="00662048" w:rsidP="00684C40">
      <w:pPr>
        <w:widowControl/>
        <w:spacing w:line="360" w:lineRule="auto"/>
        <w:ind w:firstLineChars="250" w:firstLine="525"/>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该项目属于改造加</w:t>
      </w:r>
      <w:r w:rsidR="003454FE">
        <w:rPr>
          <w:rFonts w:asciiTheme="minorEastAsia" w:eastAsiaTheme="minorEastAsia" w:hAnsiTheme="minorEastAsia" w:cstheme="minorBidi" w:hint="eastAsia"/>
          <w:color w:val="000000" w:themeColor="text1"/>
          <w:szCs w:val="21"/>
        </w:rPr>
        <w:t>新建项目，改造及新建施工不得影响各科室正常工作，必须保证正常供电，切割接驳需经业主审核满足要求方可实施。原有开关更换须匹配医院原有品牌、低压电缆、智能仪表等主材必须选用合资或国内知名品牌，尽量与医院其他用电设施设备品牌配套。具体施工方案以现场勘察为准。</w:t>
      </w:r>
    </w:p>
    <w:p w:rsidR="003454FE" w:rsidRPr="0002255A" w:rsidRDefault="0002255A" w:rsidP="0002255A">
      <w:pPr>
        <w:widowControl/>
        <w:spacing w:line="360" w:lineRule="auto"/>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2.</w:t>
      </w:r>
      <w:r w:rsidR="003454FE" w:rsidRPr="0002255A">
        <w:rPr>
          <w:rFonts w:asciiTheme="minorEastAsia" w:eastAsiaTheme="minorEastAsia" w:hAnsiTheme="minorEastAsia" w:cstheme="minorBidi" w:hint="eastAsia"/>
          <w:color w:val="000000" w:themeColor="text1"/>
          <w:szCs w:val="21"/>
        </w:rPr>
        <w:t>建议设备品牌</w:t>
      </w:r>
    </w:p>
    <w:tbl>
      <w:tblPr>
        <w:tblW w:w="10009" w:type="dxa"/>
        <w:jc w:val="center"/>
        <w:tblInd w:w="-269" w:type="dxa"/>
        <w:tblLayout w:type="fixed"/>
        <w:tblCellMar>
          <w:left w:w="0" w:type="dxa"/>
          <w:right w:w="0" w:type="dxa"/>
        </w:tblCellMar>
        <w:tblLook w:val="04A0"/>
      </w:tblPr>
      <w:tblGrid>
        <w:gridCol w:w="269"/>
        <w:gridCol w:w="441"/>
        <w:gridCol w:w="55"/>
        <w:gridCol w:w="1198"/>
        <w:gridCol w:w="1156"/>
        <w:gridCol w:w="1286"/>
        <w:gridCol w:w="447"/>
        <w:gridCol w:w="110"/>
        <w:gridCol w:w="1418"/>
        <w:gridCol w:w="662"/>
        <w:gridCol w:w="391"/>
        <w:gridCol w:w="222"/>
        <w:gridCol w:w="740"/>
        <w:gridCol w:w="865"/>
        <w:gridCol w:w="233"/>
        <w:gridCol w:w="516"/>
      </w:tblGrid>
      <w:tr w:rsidR="003454FE" w:rsidTr="00B64D33">
        <w:trPr>
          <w:gridBefore w:val="1"/>
          <w:gridAfter w:val="1"/>
          <w:wBefore w:w="269" w:type="dxa"/>
          <w:wAfter w:w="516" w:type="dxa"/>
          <w:trHeight w:val="567"/>
          <w:jc w:val="center"/>
        </w:trPr>
        <w:tc>
          <w:tcPr>
            <w:tcW w:w="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b/>
                <w:color w:val="000000" w:themeColor="text1"/>
                <w:szCs w:val="21"/>
              </w:rPr>
            </w:pPr>
            <w:r>
              <w:rPr>
                <w:rFonts w:asciiTheme="minorEastAsia" w:eastAsiaTheme="minorEastAsia" w:hAnsiTheme="minorEastAsia" w:cs="华文楷体" w:hint="eastAsia"/>
                <w:b/>
                <w:color w:val="000000" w:themeColor="text1"/>
                <w:kern w:val="0"/>
                <w:szCs w:val="21"/>
              </w:rPr>
              <w:t>序号</w:t>
            </w:r>
          </w:p>
        </w:tc>
        <w:tc>
          <w:tcPr>
            <w:tcW w:w="11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b/>
                <w:color w:val="000000" w:themeColor="text1"/>
                <w:szCs w:val="21"/>
              </w:rPr>
            </w:pPr>
            <w:r>
              <w:rPr>
                <w:rFonts w:asciiTheme="minorEastAsia" w:eastAsiaTheme="minorEastAsia" w:hAnsiTheme="minorEastAsia" w:cs="华文楷体" w:hint="eastAsia"/>
                <w:b/>
                <w:color w:val="000000" w:themeColor="text1"/>
                <w:kern w:val="0"/>
                <w:szCs w:val="21"/>
              </w:rPr>
              <w:t>主材名称</w:t>
            </w:r>
          </w:p>
        </w:tc>
        <w:tc>
          <w:tcPr>
            <w:tcW w:w="2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b/>
                <w:color w:val="000000" w:themeColor="text1"/>
                <w:szCs w:val="21"/>
              </w:rPr>
            </w:pPr>
            <w:r>
              <w:rPr>
                <w:rFonts w:asciiTheme="minorEastAsia" w:eastAsiaTheme="minorEastAsia" w:hAnsiTheme="minorEastAsia" w:cs="华文楷体" w:hint="eastAsia"/>
                <w:b/>
                <w:color w:val="000000" w:themeColor="text1"/>
                <w:kern w:val="0"/>
                <w:szCs w:val="21"/>
              </w:rPr>
              <w:t>建议品牌1</w:t>
            </w:r>
          </w:p>
        </w:tc>
        <w:tc>
          <w:tcPr>
            <w:tcW w:w="26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b/>
                <w:color w:val="000000" w:themeColor="text1"/>
                <w:szCs w:val="21"/>
              </w:rPr>
            </w:pPr>
            <w:r>
              <w:rPr>
                <w:rFonts w:asciiTheme="minorEastAsia" w:eastAsiaTheme="minorEastAsia" w:hAnsiTheme="minorEastAsia" w:cs="华文楷体" w:hint="eastAsia"/>
                <w:b/>
                <w:color w:val="000000" w:themeColor="text1"/>
                <w:kern w:val="0"/>
                <w:szCs w:val="21"/>
              </w:rPr>
              <w:t>建议品牌2</w:t>
            </w:r>
          </w:p>
        </w:tc>
        <w:tc>
          <w:tcPr>
            <w:tcW w:w="245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b/>
                <w:color w:val="000000" w:themeColor="text1"/>
                <w:szCs w:val="21"/>
              </w:rPr>
            </w:pPr>
            <w:r>
              <w:rPr>
                <w:rFonts w:asciiTheme="minorEastAsia" w:eastAsiaTheme="minorEastAsia" w:hAnsiTheme="minorEastAsia" w:cs="华文楷体" w:hint="eastAsia"/>
                <w:b/>
                <w:color w:val="000000" w:themeColor="text1"/>
                <w:kern w:val="0"/>
                <w:szCs w:val="21"/>
              </w:rPr>
              <w:t>建议品牌3</w:t>
            </w:r>
          </w:p>
        </w:tc>
      </w:tr>
      <w:tr w:rsidR="003454FE" w:rsidTr="00B64D33">
        <w:trPr>
          <w:gridBefore w:val="1"/>
          <w:gridAfter w:val="1"/>
          <w:wBefore w:w="269" w:type="dxa"/>
          <w:wAfter w:w="516" w:type="dxa"/>
          <w:trHeight w:val="567"/>
          <w:jc w:val="center"/>
        </w:trPr>
        <w:tc>
          <w:tcPr>
            <w:tcW w:w="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1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低压母线槽</w:t>
            </w:r>
          </w:p>
        </w:tc>
        <w:tc>
          <w:tcPr>
            <w:tcW w:w="2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新会电气</w:t>
            </w:r>
          </w:p>
        </w:tc>
        <w:tc>
          <w:tcPr>
            <w:tcW w:w="26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白云电器</w:t>
            </w:r>
          </w:p>
        </w:tc>
        <w:tc>
          <w:tcPr>
            <w:tcW w:w="245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长电电力</w:t>
            </w:r>
          </w:p>
        </w:tc>
      </w:tr>
      <w:tr w:rsidR="003454FE" w:rsidTr="00B64D33">
        <w:trPr>
          <w:gridBefore w:val="1"/>
          <w:gridAfter w:val="1"/>
          <w:wBefore w:w="269" w:type="dxa"/>
          <w:wAfter w:w="516" w:type="dxa"/>
          <w:trHeight w:val="567"/>
          <w:jc w:val="center"/>
        </w:trPr>
        <w:tc>
          <w:tcPr>
            <w:tcW w:w="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1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低压开关/低压断路器</w:t>
            </w:r>
          </w:p>
        </w:tc>
        <w:tc>
          <w:tcPr>
            <w:tcW w:w="753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（原有开关为西门子品牌，更换改造需与原有品牌匹配）</w:t>
            </w:r>
          </w:p>
        </w:tc>
      </w:tr>
      <w:tr w:rsidR="003454FE" w:rsidTr="00B64D33">
        <w:trPr>
          <w:gridBefore w:val="1"/>
          <w:gridAfter w:val="1"/>
          <w:wBefore w:w="269" w:type="dxa"/>
          <w:wAfter w:w="516" w:type="dxa"/>
          <w:trHeight w:val="567"/>
          <w:jc w:val="center"/>
        </w:trPr>
        <w:tc>
          <w:tcPr>
            <w:tcW w:w="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3</w:t>
            </w:r>
          </w:p>
        </w:tc>
        <w:tc>
          <w:tcPr>
            <w:tcW w:w="11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多功能智能电表</w:t>
            </w:r>
          </w:p>
        </w:tc>
        <w:tc>
          <w:tcPr>
            <w:tcW w:w="2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szCs w:val="21"/>
              </w:rPr>
              <w:t>深圳中电</w:t>
            </w:r>
          </w:p>
        </w:tc>
        <w:tc>
          <w:tcPr>
            <w:tcW w:w="26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szCs w:val="21"/>
              </w:rPr>
              <w:t>珠海大唐</w:t>
            </w:r>
          </w:p>
        </w:tc>
        <w:tc>
          <w:tcPr>
            <w:tcW w:w="245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szCs w:val="21"/>
              </w:rPr>
              <w:t>广州汉光</w:t>
            </w:r>
          </w:p>
        </w:tc>
      </w:tr>
      <w:tr w:rsidR="003454FE" w:rsidTr="00B64D33">
        <w:trPr>
          <w:gridBefore w:val="1"/>
          <w:gridAfter w:val="1"/>
          <w:wBefore w:w="269" w:type="dxa"/>
          <w:wAfter w:w="516" w:type="dxa"/>
          <w:trHeight w:val="567"/>
          <w:jc w:val="center"/>
        </w:trPr>
        <w:tc>
          <w:tcPr>
            <w:tcW w:w="49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4</w:t>
            </w:r>
          </w:p>
        </w:tc>
        <w:tc>
          <w:tcPr>
            <w:tcW w:w="11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电缆</w:t>
            </w:r>
          </w:p>
        </w:tc>
        <w:tc>
          <w:tcPr>
            <w:tcW w:w="2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szCs w:val="21"/>
              </w:rPr>
              <w:t>珠江电缆</w:t>
            </w:r>
          </w:p>
        </w:tc>
        <w:tc>
          <w:tcPr>
            <w:tcW w:w="263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新南达电缆</w:t>
            </w:r>
          </w:p>
        </w:tc>
        <w:tc>
          <w:tcPr>
            <w:tcW w:w="245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4FE" w:rsidRDefault="003454FE" w:rsidP="00532140">
            <w:pPr>
              <w:jc w:val="center"/>
              <w:textAlignment w:val="center"/>
              <w:rPr>
                <w:rFonts w:asciiTheme="minorEastAsia" w:eastAsiaTheme="minorEastAsia" w:hAnsiTheme="minorEastAsia" w:cs="华文楷体"/>
                <w:color w:val="000000" w:themeColor="text1"/>
                <w:szCs w:val="21"/>
              </w:rPr>
            </w:pPr>
            <w:r>
              <w:rPr>
                <w:rFonts w:asciiTheme="minorEastAsia" w:eastAsiaTheme="minorEastAsia" w:hAnsiTheme="minorEastAsia" w:cs="华文楷体" w:hint="eastAsia"/>
                <w:color w:val="000000" w:themeColor="text1"/>
                <w:kern w:val="0"/>
                <w:szCs w:val="21"/>
              </w:rPr>
              <w:t>广州电缆</w:t>
            </w:r>
          </w:p>
        </w:tc>
      </w:tr>
      <w:tr w:rsidR="00AD558D" w:rsidRPr="00EA37E8" w:rsidTr="00B64D33">
        <w:tblPrEx>
          <w:jc w:val="left"/>
          <w:tblCellMar>
            <w:left w:w="108" w:type="dxa"/>
            <w:right w:w="108" w:type="dxa"/>
          </w:tblCellMar>
        </w:tblPrEx>
        <w:trPr>
          <w:trHeight w:val="795"/>
        </w:trPr>
        <w:tc>
          <w:tcPr>
            <w:tcW w:w="10009" w:type="dxa"/>
            <w:gridSpan w:val="16"/>
            <w:tcBorders>
              <w:top w:val="nil"/>
              <w:left w:val="nil"/>
              <w:bottom w:val="nil"/>
              <w:right w:val="nil"/>
            </w:tcBorders>
            <w:shd w:val="clear" w:color="FFFFFF" w:fill="FFFFFF"/>
            <w:vAlign w:val="center"/>
            <w:hideMark/>
          </w:tcPr>
          <w:p w:rsidR="00AD558D" w:rsidRPr="00EA37E8" w:rsidRDefault="00AD558D" w:rsidP="00AD558D">
            <w:pPr>
              <w:widowControl/>
              <w:rPr>
                <w:rFonts w:ascii="宋体" w:hAnsi="宋体" w:cs="宋体"/>
                <w:b/>
                <w:bCs/>
                <w:kern w:val="0"/>
                <w:sz w:val="40"/>
                <w:szCs w:val="40"/>
              </w:rPr>
            </w:pPr>
          </w:p>
        </w:tc>
      </w:tr>
      <w:tr w:rsidR="00AD558D" w:rsidRPr="00EA37E8" w:rsidTr="00B64D33">
        <w:tblPrEx>
          <w:jc w:val="left"/>
          <w:tblCellMar>
            <w:left w:w="108" w:type="dxa"/>
            <w:right w:w="108" w:type="dxa"/>
          </w:tblCellMar>
        </w:tblPrEx>
        <w:trPr>
          <w:trHeight w:val="570"/>
        </w:trPr>
        <w:tc>
          <w:tcPr>
            <w:tcW w:w="4852" w:type="dxa"/>
            <w:gridSpan w:val="7"/>
            <w:tcBorders>
              <w:top w:val="nil"/>
              <w:left w:val="nil"/>
              <w:bottom w:val="nil"/>
              <w:right w:val="nil"/>
            </w:tcBorders>
            <w:shd w:val="clear" w:color="FFFFFF" w:fill="FFFFFF"/>
            <w:vAlign w:val="bottom"/>
            <w:hideMark/>
          </w:tcPr>
          <w:p w:rsidR="00AD558D" w:rsidRDefault="00AD558D"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597114" w:rsidRDefault="00597114" w:rsidP="006746CB">
            <w:pPr>
              <w:widowControl/>
              <w:jc w:val="left"/>
              <w:rPr>
                <w:rFonts w:ascii="宋体" w:hAnsi="宋体" w:cs="宋体"/>
                <w:kern w:val="0"/>
                <w:sz w:val="20"/>
                <w:szCs w:val="20"/>
              </w:rPr>
            </w:pPr>
          </w:p>
          <w:p w:rsidR="00BD2500" w:rsidRPr="00662048" w:rsidRDefault="00BD2500" w:rsidP="00BD2500">
            <w:pPr>
              <w:tabs>
                <w:tab w:val="left" w:pos="284"/>
                <w:tab w:val="left" w:pos="426"/>
              </w:tabs>
              <w:autoSpaceDN w:val="0"/>
              <w:snapToGrid w:val="0"/>
              <w:spacing w:line="360" w:lineRule="auto"/>
              <w:ind w:firstLineChars="200" w:firstLine="420"/>
              <w:jc w:val="left"/>
              <w:rPr>
                <w:rFonts w:ascii="宋体" w:hAnsi="宋体"/>
                <w:bCs/>
                <w:color w:val="000000" w:themeColor="text1"/>
                <w:szCs w:val="21"/>
              </w:rPr>
            </w:pPr>
          </w:p>
          <w:p w:rsidR="00597114" w:rsidRPr="00EA37E8" w:rsidRDefault="00BD2500" w:rsidP="006746CB">
            <w:pPr>
              <w:widowControl/>
              <w:jc w:val="left"/>
              <w:rPr>
                <w:rFonts w:ascii="宋体" w:hAnsi="宋体" w:cs="宋体"/>
                <w:kern w:val="0"/>
                <w:sz w:val="20"/>
                <w:szCs w:val="20"/>
              </w:rPr>
            </w:pPr>
            <w:r>
              <w:rPr>
                <w:rFonts w:ascii="宋体" w:hAnsi="宋体" w:cs="宋体" w:hint="eastAsia"/>
                <w:kern w:val="0"/>
                <w:sz w:val="20"/>
                <w:szCs w:val="20"/>
              </w:rPr>
              <w:t>附件一:</w:t>
            </w:r>
          </w:p>
        </w:tc>
        <w:tc>
          <w:tcPr>
            <w:tcW w:w="2581" w:type="dxa"/>
            <w:gridSpan w:val="4"/>
            <w:tcBorders>
              <w:top w:val="nil"/>
              <w:left w:val="nil"/>
              <w:bottom w:val="nil"/>
              <w:right w:val="nil"/>
            </w:tcBorders>
            <w:shd w:val="clear" w:color="FFFFFF" w:fill="FFFFFF"/>
            <w:vAlign w:val="bottom"/>
            <w:hideMark/>
          </w:tcPr>
          <w:p w:rsidR="00AD558D" w:rsidRPr="00EA37E8" w:rsidRDefault="00AD558D" w:rsidP="006746CB">
            <w:pPr>
              <w:widowControl/>
              <w:jc w:val="left"/>
              <w:rPr>
                <w:rFonts w:ascii="宋体" w:hAnsi="宋体" w:cs="宋体"/>
                <w:kern w:val="0"/>
                <w:sz w:val="20"/>
                <w:szCs w:val="20"/>
              </w:rPr>
            </w:pPr>
          </w:p>
        </w:tc>
        <w:tc>
          <w:tcPr>
            <w:tcW w:w="2576" w:type="dxa"/>
            <w:gridSpan w:val="5"/>
            <w:tcBorders>
              <w:top w:val="nil"/>
              <w:left w:val="nil"/>
              <w:bottom w:val="nil"/>
              <w:right w:val="nil"/>
            </w:tcBorders>
            <w:shd w:val="clear" w:color="FFFFFF" w:fill="FFFFFF"/>
            <w:vAlign w:val="bottom"/>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360"/>
        </w:trPr>
        <w:tc>
          <w:tcPr>
            <w:tcW w:w="71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lastRenderedPageBreak/>
              <w:t>序号</w:t>
            </w:r>
          </w:p>
        </w:tc>
        <w:tc>
          <w:tcPr>
            <w:tcW w:w="240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项目名称</w:t>
            </w:r>
          </w:p>
        </w:tc>
        <w:tc>
          <w:tcPr>
            <w:tcW w:w="184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项目特征描述</w:t>
            </w:r>
          </w:p>
        </w:tc>
        <w:tc>
          <w:tcPr>
            <w:tcW w:w="141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计量单位</w:t>
            </w:r>
          </w:p>
        </w:tc>
        <w:tc>
          <w:tcPr>
            <w:tcW w:w="127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工程量</w:t>
            </w:r>
          </w:p>
        </w:tc>
        <w:tc>
          <w:tcPr>
            <w:tcW w:w="235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金额（元）</w:t>
            </w:r>
          </w:p>
        </w:tc>
      </w:tr>
      <w:tr w:rsidR="00AD558D" w:rsidRPr="00EA37E8" w:rsidTr="00B64D33">
        <w:tblPrEx>
          <w:jc w:val="left"/>
          <w:tblCellMar>
            <w:left w:w="108" w:type="dxa"/>
            <w:right w:w="108" w:type="dxa"/>
          </w:tblCellMar>
        </w:tblPrEx>
        <w:trPr>
          <w:trHeight w:val="360"/>
        </w:trPr>
        <w:tc>
          <w:tcPr>
            <w:tcW w:w="710" w:type="dxa"/>
            <w:gridSpan w:val="2"/>
            <w:vMerge/>
            <w:tcBorders>
              <w:top w:val="single" w:sz="8" w:space="0" w:color="000000"/>
              <w:left w:val="single" w:sz="8"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2409"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843"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275"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740"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综合单价</w:t>
            </w:r>
          </w:p>
        </w:tc>
        <w:tc>
          <w:tcPr>
            <w:tcW w:w="8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综合合价</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其中</w:t>
            </w:r>
          </w:p>
        </w:tc>
      </w:tr>
      <w:tr w:rsidR="00AD558D" w:rsidRPr="00EA37E8" w:rsidTr="00B64D33">
        <w:tblPrEx>
          <w:jc w:val="left"/>
          <w:tblCellMar>
            <w:left w:w="108" w:type="dxa"/>
            <w:right w:w="108" w:type="dxa"/>
          </w:tblCellMar>
        </w:tblPrEx>
        <w:trPr>
          <w:trHeight w:val="360"/>
        </w:trPr>
        <w:tc>
          <w:tcPr>
            <w:tcW w:w="710" w:type="dxa"/>
            <w:gridSpan w:val="2"/>
            <w:vMerge/>
            <w:tcBorders>
              <w:top w:val="single" w:sz="8" w:space="0" w:color="000000"/>
              <w:left w:val="single" w:sz="8"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2409"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843"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418" w:type="dxa"/>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1275" w:type="dxa"/>
            <w:gridSpan w:val="3"/>
            <w:vMerge/>
            <w:tcBorders>
              <w:top w:val="single" w:sz="8" w:space="0" w:color="000000"/>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740" w:type="dxa"/>
            <w:vMerge/>
            <w:tcBorders>
              <w:top w:val="nil"/>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865" w:type="dxa"/>
            <w:vMerge/>
            <w:tcBorders>
              <w:top w:val="nil"/>
              <w:left w:val="single" w:sz="4" w:space="0" w:color="000000"/>
              <w:bottom w:val="single" w:sz="4" w:space="0" w:color="000000"/>
              <w:right w:val="single" w:sz="4" w:space="0" w:color="000000"/>
            </w:tcBorders>
            <w:vAlign w:val="center"/>
            <w:hideMark/>
          </w:tcPr>
          <w:p w:rsidR="00AD558D" w:rsidRPr="00EA37E8" w:rsidRDefault="00AD558D" w:rsidP="006746CB">
            <w:pPr>
              <w:widowControl/>
              <w:jc w:val="left"/>
              <w:rPr>
                <w:rFonts w:ascii="宋体" w:hAnsi="宋体" w:cs="宋体"/>
                <w:kern w:val="0"/>
                <w:sz w:val="20"/>
                <w:szCs w:val="20"/>
              </w:rPr>
            </w:pP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暂估价</w:t>
            </w:r>
          </w:p>
        </w:tc>
      </w:tr>
      <w:tr w:rsidR="00AD558D" w:rsidRPr="00EA37E8" w:rsidTr="00B64D33">
        <w:tblPrEx>
          <w:jc w:val="left"/>
          <w:tblCellMar>
            <w:left w:w="108" w:type="dxa"/>
            <w:right w:w="108" w:type="dxa"/>
          </w:tblCellMar>
        </w:tblPrEx>
        <w:trPr>
          <w:trHeight w:val="133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FD3低压柜增加ACB-1000A/3P低压断路器开关</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台</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2</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FD3低压柜加装低压电流互感器</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台</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3</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3</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FD3低压柜加装多功能智能电表</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套</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1083"/>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4</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新装P01低压开关柜</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800A开关1个、400A开关1个、250A开关4个</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台</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108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5</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ZRYJV22-4×300+1×150mm2低压电缆</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m</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76</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6</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4×300+1×150mm2低压电缆终端头</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套</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2</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7</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二线镀锌桥架300*200*1.5mm</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m</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58</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57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8</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镀锌桥架接地线</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m</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58</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9</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钢筋混凝土楼板开孔400mm×300mm</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个</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2</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825"/>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10</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钢筋混凝土楼板封堵400mm×300mm</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个</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2</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36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11</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拆除石膏天花</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m2</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60</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36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12</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安装石膏天花</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m2</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60</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57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13</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低压配电柜调试</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台</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2</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36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14</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低压电缆调试</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根次</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r w:rsidR="00AD558D" w:rsidRPr="00EA37E8" w:rsidTr="00B64D33">
        <w:tblPrEx>
          <w:jc w:val="left"/>
          <w:tblCellMar>
            <w:left w:w="108" w:type="dxa"/>
            <w:right w:w="108" w:type="dxa"/>
          </w:tblCellMar>
        </w:tblPrEx>
        <w:trPr>
          <w:trHeight w:val="570"/>
        </w:trPr>
        <w:tc>
          <w:tcPr>
            <w:tcW w:w="71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15</w:t>
            </w:r>
          </w:p>
        </w:tc>
        <w:tc>
          <w:tcPr>
            <w:tcW w:w="2409" w:type="dxa"/>
            <w:gridSpan w:val="3"/>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接地装置调试 接地网</w:t>
            </w:r>
          </w:p>
        </w:tc>
        <w:tc>
          <w:tcPr>
            <w:tcW w:w="1843"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left"/>
              <w:rPr>
                <w:rFonts w:ascii="宋体" w:hAnsi="宋体" w:cs="宋体"/>
                <w:kern w:val="0"/>
                <w:sz w:val="20"/>
                <w:szCs w:val="20"/>
              </w:rPr>
            </w:pPr>
            <w:r w:rsidRPr="00EA37E8">
              <w:rPr>
                <w:rFonts w:ascii="宋体" w:hAnsi="宋体" w:cs="宋体" w:hint="eastAsia"/>
                <w:kern w:val="0"/>
                <w:sz w:val="20"/>
                <w:szCs w:val="20"/>
              </w:rPr>
              <w:t xml:space="preserve">　</w:t>
            </w:r>
          </w:p>
        </w:tc>
        <w:tc>
          <w:tcPr>
            <w:tcW w:w="1418"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系统</w:t>
            </w:r>
          </w:p>
        </w:tc>
        <w:tc>
          <w:tcPr>
            <w:tcW w:w="1275"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center"/>
              <w:rPr>
                <w:rFonts w:ascii="宋体" w:hAnsi="宋体" w:cs="宋体"/>
                <w:kern w:val="0"/>
                <w:sz w:val="20"/>
                <w:szCs w:val="20"/>
              </w:rPr>
            </w:pPr>
            <w:r w:rsidRPr="00EA37E8">
              <w:rPr>
                <w:rFonts w:ascii="宋体" w:hAnsi="宋体" w:cs="宋体" w:hint="eastAsia"/>
                <w:kern w:val="0"/>
                <w:sz w:val="20"/>
                <w:szCs w:val="20"/>
              </w:rPr>
              <w:t>1</w:t>
            </w:r>
          </w:p>
        </w:tc>
        <w:tc>
          <w:tcPr>
            <w:tcW w:w="740"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865" w:type="dxa"/>
            <w:tcBorders>
              <w:top w:val="nil"/>
              <w:left w:val="nil"/>
              <w:bottom w:val="single" w:sz="4" w:space="0" w:color="000000"/>
              <w:right w:val="single" w:sz="4"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c>
          <w:tcPr>
            <w:tcW w:w="749" w:type="dxa"/>
            <w:gridSpan w:val="2"/>
            <w:tcBorders>
              <w:top w:val="nil"/>
              <w:left w:val="nil"/>
              <w:bottom w:val="single" w:sz="4" w:space="0" w:color="000000"/>
              <w:right w:val="single" w:sz="8" w:space="0" w:color="000000"/>
            </w:tcBorders>
            <w:shd w:val="clear" w:color="FFFFFF" w:fill="FFFFFF"/>
            <w:vAlign w:val="center"/>
            <w:hideMark/>
          </w:tcPr>
          <w:p w:rsidR="00AD558D" w:rsidRPr="00EA37E8" w:rsidRDefault="00AD558D" w:rsidP="006746CB">
            <w:pPr>
              <w:widowControl/>
              <w:jc w:val="right"/>
              <w:rPr>
                <w:rFonts w:ascii="宋体" w:hAnsi="宋体" w:cs="宋体"/>
                <w:kern w:val="0"/>
                <w:sz w:val="20"/>
                <w:szCs w:val="20"/>
              </w:rPr>
            </w:pPr>
            <w:r w:rsidRPr="00EA37E8">
              <w:rPr>
                <w:rFonts w:ascii="宋体" w:hAnsi="宋体" w:cs="宋体" w:hint="eastAsia"/>
                <w:kern w:val="0"/>
                <w:sz w:val="20"/>
                <w:szCs w:val="20"/>
              </w:rPr>
              <w:t xml:space="preserve">　</w:t>
            </w:r>
          </w:p>
        </w:tc>
      </w:tr>
    </w:tbl>
    <w:p w:rsidR="003454FE" w:rsidRPr="0002255A" w:rsidRDefault="0002255A" w:rsidP="0002255A">
      <w:pPr>
        <w:widowControl/>
        <w:spacing w:line="360" w:lineRule="auto"/>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3.</w:t>
      </w:r>
      <w:r w:rsidR="003454FE" w:rsidRPr="0002255A">
        <w:rPr>
          <w:rFonts w:asciiTheme="minorEastAsia" w:eastAsiaTheme="minorEastAsia" w:hAnsiTheme="minorEastAsia" w:cstheme="minorBidi" w:hint="eastAsia"/>
          <w:color w:val="000000" w:themeColor="text1"/>
          <w:szCs w:val="21"/>
        </w:rPr>
        <w:t>技术（规范）标准</w:t>
      </w:r>
    </w:p>
    <w:p w:rsidR="003454FE" w:rsidRDefault="003454FE" w:rsidP="003454FE">
      <w:pPr>
        <w:widowControl/>
        <w:spacing w:line="360" w:lineRule="auto"/>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lastRenderedPageBreak/>
        <w:t>本项目的材料、设备须达到现行中华人民共和国以及省、自治区、直辖市或行业的建设标准、规范的要求。</w:t>
      </w:r>
    </w:p>
    <w:p w:rsidR="003454FE" w:rsidRDefault="003454FE" w:rsidP="003454FE">
      <w:pPr>
        <w:widowControl/>
        <w:spacing w:line="360" w:lineRule="auto"/>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强制性条文规范要求：本项目严格执行国家和行业现行的强制性条文，且应为其最新版本。</w:t>
      </w:r>
    </w:p>
    <w:p w:rsidR="00684C40" w:rsidRDefault="003454FE" w:rsidP="00684C40">
      <w:pPr>
        <w:widowControl/>
        <w:spacing w:line="360" w:lineRule="auto"/>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如未能达到国际和国内最新标准时，投标人应使选用的设备和材料符合最近的国际、国内标准，并提供采用的标准、规范和所应用的最新版本的有关技术依据资料</w:t>
      </w:r>
    </w:p>
    <w:p w:rsidR="003454FE" w:rsidRPr="00684C40" w:rsidRDefault="000E4A0B" w:rsidP="00684C40">
      <w:pPr>
        <w:widowControl/>
        <w:spacing w:line="360" w:lineRule="auto"/>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三</w:t>
      </w:r>
      <w:r w:rsidR="00684C40">
        <w:rPr>
          <w:rFonts w:asciiTheme="minorEastAsia" w:eastAsiaTheme="minorEastAsia" w:hAnsiTheme="minorEastAsia" w:cstheme="minorBidi" w:hint="eastAsia"/>
          <w:color w:val="000000" w:themeColor="text1"/>
          <w:szCs w:val="21"/>
        </w:rPr>
        <w:t>、</w:t>
      </w:r>
      <w:r w:rsidR="003454FE">
        <w:rPr>
          <w:rFonts w:asciiTheme="minorEastAsia" w:eastAsiaTheme="minorEastAsia" w:hAnsiTheme="minorEastAsia" w:cstheme="minorBidi"/>
          <w:b/>
          <w:color w:val="000000" w:themeColor="text1"/>
        </w:rPr>
        <w:t>工期、质保期</w:t>
      </w:r>
    </w:p>
    <w:p w:rsidR="003454FE" w:rsidRDefault="00302E97" w:rsidP="003454FE">
      <w:pPr>
        <w:widowControl/>
        <w:spacing w:line="360" w:lineRule="auto"/>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1.  </w:t>
      </w:r>
      <w:r w:rsidR="003454FE">
        <w:rPr>
          <w:rFonts w:asciiTheme="minorEastAsia" w:eastAsiaTheme="minorEastAsia" w:hAnsiTheme="minorEastAsia" w:cstheme="minorBidi" w:hint="eastAsia"/>
          <w:color w:val="000000" w:themeColor="text1"/>
          <w:szCs w:val="21"/>
        </w:rPr>
        <w:t>工期要求：</w:t>
      </w:r>
      <w:r w:rsidR="00662048">
        <w:rPr>
          <w:rFonts w:asciiTheme="minorEastAsia" w:eastAsiaTheme="minorEastAsia" w:hAnsiTheme="minorEastAsia" w:cstheme="minorBidi" w:hint="eastAsia"/>
          <w:color w:val="000000" w:themeColor="text1"/>
          <w:szCs w:val="21"/>
        </w:rPr>
        <w:t>30</w:t>
      </w:r>
      <w:r w:rsidR="003454FE">
        <w:rPr>
          <w:rFonts w:asciiTheme="minorEastAsia" w:eastAsiaTheme="minorEastAsia" w:hAnsiTheme="minorEastAsia" w:cstheme="minorBidi" w:hint="eastAsia"/>
          <w:color w:val="000000" w:themeColor="text1"/>
          <w:szCs w:val="21"/>
        </w:rPr>
        <w:t>日历天；</w:t>
      </w:r>
    </w:p>
    <w:p w:rsidR="003454FE" w:rsidRPr="00302E97" w:rsidRDefault="00302E97" w:rsidP="00302E97">
      <w:pPr>
        <w:widowControl/>
        <w:spacing w:line="360" w:lineRule="auto"/>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2.  </w:t>
      </w:r>
      <w:r w:rsidR="003454FE" w:rsidRPr="00302E97">
        <w:rPr>
          <w:rFonts w:asciiTheme="minorEastAsia" w:eastAsiaTheme="minorEastAsia" w:hAnsiTheme="minorEastAsia" w:cstheme="minorBidi" w:hint="eastAsia"/>
          <w:color w:val="000000" w:themeColor="text1"/>
          <w:szCs w:val="21"/>
        </w:rPr>
        <w:t>质保期自工程竣工之日起始计算：1年。</w:t>
      </w:r>
    </w:p>
    <w:p w:rsidR="003454FE" w:rsidRDefault="003454FE" w:rsidP="00662048">
      <w:pPr>
        <w:pStyle w:val="PlainText1"/>
        <w:numPr>
          <w:ilvl w:val="0"/>
          <w:numId w:val="14"/>
        </w:numPr>
        <w:tabs>
          <w:tab w:val="left" w:pos="540"/>
        </w:tabs>
        <w:adjustRightInd w:val="0"/>
        <w:snapToGrid w:val="0"/>
        <w:spacing w:line="360" w:lineRule="auto"/>
        <w:rPr>
          <w:rFonts w:hAnsi="宋体" w:hint="default"/>
          <w:b/>
          <w:color w:val="000000" w:themeColor="text1"/>
          <w:sz w:val="21"/>
        </w:rPr>
      </w:pPr>
      <w:r>
        <w:rPr>
          <w:rFonts w:hAnsi="宋体"/>
          <w:b/>
          <w:color w:val="000000" w:themeColor="text1"/>
          <w:sz w:val="21"/>
        </w:rPr>
        <w:t>工程质量要求</w:t>
      </w:r>
      <w:r w:rsidR="00684C40">
        <w:rPr>
          <w:rFonts w:hAnsi="宋体"/>
          <w:b/>
          <w:color w:val="000000" w:themeColor="text1"/>
          <w:sz w:val="21"/>
        </w:rPr>
        <w:t>、标准及安全文明施工</w:t>
      </w:r>
    </w:p>
    <w:p w:rsidR="003454FE" w:rsidRDefault="003454FE" w:rsidP="003454FE">
      <w:pPr>
        <w:numPr>
          <w:ilvl w:val="0"/>
          <w:numId w:val="6"/>
        </w:numPr>
        <w:tabs>
          <w:tab w:val="left" w:pos="426"/>
        </w:tabs>
        <w:autoSpaceDN w:val="0"/>
        <w:spacing w:line="360" w:lineRule="auto"/>
        <w:ind w:left="426" w:hanging="426"/>
        <w:rPr>
          <w:rFonts w:ascii="宋体" w:hAnsi="宋体"/>
          <w:color w:val="000000" w:themeColor="text1"/>
          <w:szCs w:val="21"/>
        </w:rPr>
      </w:pPr>
      <w:r>
        <w:rPr>
          <w:rFonts w:ascii="宋体" w:hAnsi="宋体" w:hint="eastAsia"/>
          <w:color w:val="000000" w:themeColor="text1"/>
          <w:szCs w:val="21"/>
        </w:rPr>
        <w:t>本工程严格按照施工图纸和说明以及相关规范标准进行施工。施工过程中由招标人按照国家有关施工验收规范和建筑安装工程质量检验评定标准进行检查、验收。</w:t>
      </w:r>
      <w:r w:rsidR="00684C40">
        <w:rPr>
          <w:rFonts w:ascii="宋体" w:hAnsi="宋体" w:hint="eastAsia"/>
          <w:color w:val="000000" w:themeColor="text1"/>
          <w:szCs w:val="21"/>
        </w:rPr>
        <w:t>中标人在施工中如果工程质量不符合设计要求的有关规定，经质监部门评定工程质量不合格者，建设单位可以要求停工和返工，中标人必须立即执行，并承担由此产生的各种费用，工期不得顺延。</w:t>
      </w:r>
    </w:p>
    <w:p w:rsidR="003454FE" w:rsidRDefault="003454FE" w:rsidP="003454FE">
      <w:pPr>
        <w:numPr>
          <w:ilvl w:val="0"/>
          <w:numId w:val="6"/>
        </w:numPr>
        <w:tabs>
          <w:tab w:val="left" w:pos="426"/>
        </w:tabs>
        <w:autoSpaceDN w:val="0"/>
        <w:spacing w:line="360" w:lineRule="auto"/>
        <w:ind w:left="426" w:hanging="426"/>
        <w:rPr>
          <w:rFonts w:ascii="宋体" w:hAnsi="宋体"/>
          <w:color w:val="000000" w:themeColor="text1"/>
          <w:szCs w:val="21"/>
        </w:rPr>
      </w:pPr>
      <w:r>
        <w:rPr>
          <w:rFonts w:ascii="宋体" w:hAnsi="宋体" w:hint="eastAsia"/>
          <w:color w:val="000000" w:themeColor="text1"/>
          <w:szCs w:val="21"/>
        </w:rPr>
        <w:t>中标人严格加强现场施工组织管理，确保组织管理的落实，现场各级管理人员必须按投标时的承诺到岗各尽其职，确保按期高质量完成本项目，凡是未能按照承诺到岗尽职的，招标人给予警告并发出整改通知。如仍未及时整改，建设单位有权责令其停工。</w:t>
      </w:r>
    </w:p>
    <w:p w:rsidR="003454FE" w:rsidRDefault="003454FE" w:rsidP="003454FE">
      <w:pPr>
        <w:numPr>
          <w:ilvl w:val="0"/>
          <w:numId w:val="6"/>
        </w:numPr>
        <w:tabs>
          <w:tab w:val="left" w:pos="426"/>
        </w:tabs>
        <w:autoSpaceDN w:val="0"/>
        <w:spacing w:line="360" w:lineRule="auto"/>
        <w:ind w:left="426" w:hanging="426"/>
        <w:rPr>
          <w:rFonts w:ascii="宋体" w:hAnsi="宋体"/>
          <w:color w:val="000000" w:themeColor="text1"/>
          <w:szCs w:val="21"/>
        </w:rPr>
      </w:pPr>
      <w:r>
        <w:rPr>
          <w:rFonts w:ascii="宋体" w:hAnsi="宋体" w:hint="eastAsia"/>
          <w:color w:val="000000" w:themeColor="text1"/>
          <w:szCs w:val="21"/>
        </w:rPr>
        <w:t>工程（包括单项工程）竣工前，中标人编制竣工验收计划，填写工程竣工报告和竣工报验单，提交招标人审查。招标人组织有关单位对竣工验收评估报告进行审定事宜。验收合格后中标人将全部有效图纸资料移交招标人。若工程竣工验收评估报告中核定质量不合格，由中标人和招标人在商定的期限内补建或返修后重新验收，直至符合要求为止。竣工日期为最终验收合格日期。</w:t>
      </w:r>
      <w:r w:rsidR="00684C40">
        <w:rPr>
          <w:rFonts w:ascii="宋体" w:hAnsi="宋体" w:hint="eastAsia"/>
          <w:color w:val="000000" w:themeColor="text1"/>
          <w:szCs w:val="21"/>
        </w:rPr>
        <w:t>质量保修期为工程竣工验收合格后两年，中标人向招标人出具质量保修书，如属施工质量引起的问题，由中标人全部负责无偿保修。</w:t>
      </w:r>
    </w:p>
    <w:p w:rsidR="003454FE" w:rsidRDefault="003454FE" w:rsidP="003454FE">
      <w:pPr>
        <w:numPr>
          <w:ilvl w:val="0"/>
          <w:numId w:val="6"/>
        </w:numPr>
        <w:tabs>
          <w:tab w:val="left" w:pos="426"/>
        </w:tabs>
        <w:autoSpaceDN w:val="0"/>
        <w:spacing w:line="360" w:lineRule="auto"/>
        <w:ind w:left="426" w:hanging="426"/>
        <w:rPr>
          <w:rFonts w:ascii="宋体" w:hAnsi="宋体"/>
          <w:color w:val="000000" w:themeColor="text1"/>
          <w:szCs w:val="21"/>
        </w:rPr>
      </w:pPr>
      <w:r>
        <w:rPr>
          <w:rFonts w:ascii="宋体" w:hAnsi="宋体" w:hint="eastAsia"/>
          <w:color w:val="000000" w:themeColor="text1"/>
          <w:szCs w:val="21"/>
        </w:rPr>
        <w:t>本工程须达到合格标准。工程竣工验收后，中标人必须清理现场、撤除所有临时设施和施工机具，并对现场进行清洁处理。</w:t>
      </w:r>
    </w:p>
    <w:p w:rsidR="00684C40" w:rsidRDefault="003454FE" w:rsidP="00684C40">
      <w:pPr>
        <w:numPr>
          <w:ilvl w:val="0"/>
          <w:numId w:val="6"/>
        </w:numPr>
        <w:tabs>
          <w:tab w:val="left" w:pos="426"/>
        </w:tabs>
        <w:autoSpaceDN w:val="0"/>
        <w:spacing w:line="360" w:lineRule="auto"/>
        <w:ind w:left="426" w:hanging="426"/>
        <w:rPr>
          <w:rFonts w:ascii="宋体" w:hAnsi="宋体"/>
          <w:color w:val="000000" w:themeColor="text1"/>
          <w:szCs w:val="21"/>
        </w:rPr>
      </w:pPr>
      <w:r>
        <w:rPr>
          <w:rFonts w:ascii="宋体" w:hAnsi="宋体" w:hint="eastAsia"/>
          <w:color w:val="000000" w:themeColor="text1"/>
          <w:szCs w:val="21"/>
        </w:rPr>
        <w:t>隐蔽工程必须需经招标人现场验收通过后才能进行下一步工序。</w:t>
      </w:r>
    </w:p>
    <w:p w:rsidR="00684C40" w:rsidRPr="00684C40" w:rsidRDefault="00684C40" w:rsidP="00684C40">
      <w:pPr>
        <w:numPr>
          <w:ilvl w:val="0"/>
          <w:numId w:val="6"/>
        </w:numPr>
        <w:tabs>
          <w:tab w:val="left" w:pos="426"/>
        </w:tabs>
        <w:autoSpaceDN w:val="0"/>
        <w:spacing w:line="360" w:lineRule="auto"/>
        <w:ind w:left="426" w:hanging="426"/>
        <w:rPr>
          <w:rFonts w:ascii="宋体" w:hAnsi="宋体"/>
          <w:color w:val="000000" w:themeColor="text1"/>
          <w:szCs w:val="21"/>
        </w:rPr>
      </w:pPr>
      <w:r w:rsidRPr="00684C40">
        <w:rPr>
          <w:rFonts w:ascii="宋体" w:hAnsi="宋体" w:hint="eastAsia"/>
          <w:color w:val="000000" w:themeColor="text1"/>
          <w:szCs w:val="21"/>
        </w:rPr>
        <w:t>安全、文明施工</w:t>
      </w:r>
    </w:p>
    <w:p w:rsidR="00684C40" w:rsidRPr="00684C40" w:rsidRDefault="00684C40" w:rsidP="00684C40">
      <w:pPr>
        <w:pStyle w:val="PlainText1"/>
        <w:tabs>
          <w:tab w:val="left" w:pos="420"/>
          <w:tab w:val="left" w:pos="540"/>
        </w:tabs>
        <w:adjustRightInd w:val="0"/>
        <w:snapToGrid w:val="0"/>
        <w:spacing w:line="360" w:lineRule="auto"/>
        <w:ind w:leftChars="200" w:left="420"/>
        <w:rPr>
          <w:rFonts w:hAnsi="宋体" w:hint="default"/>
          <w:b/>
          <w:color w:val="000000" w:themeColor="text1"/>
          <w:sz w:val="21"/>
        </w:rPr>
      </w:pPr>
      <w:r>
        <w:rPr>
          <w:rFonts w:hAnsi="宋体"/>
          <w:color w:val="000000" w:themeColor="text1"/>
          <w:sz w:val="21"/>
        </w:rPr>
        <w:t>文明施工要达到标准，不得发生安全事故，切实做好安全生产各项防范措施，加强安全施工管理。做好现场安全用电和雨天作业的保障措施。若因施工方原因出现安全事故，由施工方自身负全责。</w:t>
      </w:r>
    </w:p>
    <w:sectPr w:rsidR="00684C40" w:rsidRPr="00684C40" w:rsidSect="001B6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B5" w:rsidRDefault="00C510B5" w:rsidP="00662048">
      <w:r>
        <w:separator/>
      </w:r>
    </w:p>
  </w:endnote>
  <w:endnote w:type="continuationSeparator" w:id="1">
    <w:p w:rsidR="00C510B5" w:rsidRDefault="00C510B5" w:rsidP="006620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B5" w:rsidRDefault="00C510B5" w:rsidP="00662048">
      <w:r>
        <w:separator/>
      </w:r>
    </w:p>
  </w:footnote>
  <w:footnote w:type="continuationSeparator" w:id="1">
    <w:p w:rsidR="00C510B5" w:rsidRDefault="00C510B5" w:rsidP="00662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left" w:pos="420"/>
        </w:tabs>
        <w:ind w:left="420" w:hanging="420"/>
      </w:pPr>
      <w:rPr>
        <w:rFonts w:ascii="宋体" w:eastAsia="宋体" w:hAnsi="宋体" w:cs="Courier New"/>
        <w:lang w:val="en-US"/>
      </w:rPr>
    </w:lvl>
    <w:lvl w:ilvl="1">
      <w:start w:val="1"/>
      <w:numFmt w:val="decimal"/>
      <w:lvlText w:val="%2、"/>
      <w:lvlJc w:val="left"/>
      <w:pPr>
        <w:tabs>
          <w:tab w:val="left" w:pos="780"/>
        </w:tabs>
        <w:ind w:left="780" w:hanging="360"/>
      </w:pPr>
      <w:rPr>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EA75FA"/>
    <w:multiLevelType w:val="multilevel"/>
    <w:tmpl w:val="09EA75FA"/>
    <w:lvl w:ilvl="0">
      <w:start w:val="1"/>
      <w:numFmt w:val="japaneseCounting"/>
      <w:lvlText w:val="%1、"/>
      <w:lvlJc w:val="left"/>
      <w:pPr>
        <w:ind w:left="360" w:hanging="360"/>
      </w:pPr>
      <w:rPr>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color w:val="000000" w:themeColor="text1"/>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6B10A4"/>
    <w:multiLevelType w:val="hybridMultilevel"/>
    <w:tmpl w:val="6E622610"/>
    <w:lvl w:ilvl="0" w:tplc="B7EAFC0E">
      <w:start w:val="2"/>
      <w:numFmt w:val="japaneseCounting"/>
      <w:lvlText w:val="%1、"/>
      <w:lvlJc w:val="left"/>
      <w:pPr>
        <w:ind w:left="450" w:hanging="45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7B5962"/>
    <w:multiLevelType w:val="hybridMultilevel"/>
    <w:tmpl w:val="2D44E0BA"/>
    <w:lvl w:ilvl="0" w:tplc="0C3A8F3A">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3B6720"/>
    <w:multiLevelType w:val="multilevel"/>
    <w:tmpl w:val="223B6720"/>
    <w:lvl w:ilvl="0">
      <w:start w:val="1"/>
      <w:numFmt w:val="chineseCountingThousand"/>
      <w:lvlText w:val="%1、"/>
      <w:lvlJc w:val="left"/>
      <w:pPr>
        <w:ind w:left="420" w:hanging="420"/>
      </w:pPr>
      <w:rPr>
        <w:rFonts w:ascii="宋体" w:eastAsia="宋体" w:hAnsi="宋体" w:hint="eastAsia"/>
        <w:b/>
      </w:rPr>
    </w:lvl>
    <w:lvl w:ilvl="1">
      <w:start w:val="1"/>
      <w:numFmt w:val="decimal"/>
      <w:lvlText w:val="（%2）"/>
      <w:lvlJc w:val="left"/>
      <w:pPr>
        <w:ind w:left="1365" w:hanging="94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9E7BDE"/>
    <w:multiLevelType w:val="multilevel"/>
    <w:tmpl w:val="289E7BDE"/>
    <w:lvl w:ilvl="0">
      <w:start w:val="1"/>
      <w:numFmt w:val="decimal"/>
      <w:lvlText w:val="%1."/>
      <w:lvlJc w:val="left"/>
      <w:pPr>
        <w:tabs>
          <w:tab w:val="left" w:pos="502"/>
        </w:tabs>
        <w:ind w:left="502" w:hanging="360"/>
      </w:pPr>
      <w:rPr>
        <w:b w:val="0"/>
        <w:sz w:val="21"/>
        <w:szCs w:val="21"/>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6">
    <w:nsid w:val="33810C09"/>
    <w:multiLevelType w:val="hybridMultilevel"/>
    <w:tmpl w:val="C688F5D8"/>
    <w:lvl w:ilvl="0" w:tplc="C0AAE2F0">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C9203A"/>
    <w:multiLevelType w:val="multilevel"/>
    <w:tmpl w:val="3CC9203A"/>
    <w:lvl w:ilvl="0">
      <w:start w:val="1"/>
      <w:numFmt w:val="lowerLetter"/>
      <w:lvlText w:val="%1)"/>
      <w:lvlJc w:val="left"/>
      <w:pPr>
        <w:ind w:left="420" w:hanging="420"/>
      </w:pPr>
    </w:lvl>
    <w:lvl w:ilvl="1">
      <w:start w:val="1"/>
      <w:numFmt w:val="decimal"/>
      <w:lvlText w:val="(%2)"/>
      <w:lvlJc w:val="left"/>
      <w:pPr>
        <w:ind w:left="840" w:hanging="420"/>
      </w:pPr>
    </w:lvl>
    <w:lvl w:ilvl="2">
      <w:start w:val="8"/>
      <w:numFmt w:val="japaneseCounting"/>
      <w:lvlText w:val="%3、"/>
      <w:lvlJc w:val="left"/>
      <w:pPr>
        <w:ind w:left="1290" w:hanging="450"/>
      </w:pPr>
      <w:rPr>
        <w:rFonts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0FA655C"/>
    <w:multiLevelType w:val="multilevel"/>
    <w:tmpl w:val="40FA655C"/>
    <w:lvl w:ilvl="0">
      <w:start w:val="1"/>
      <w:numFmt w:val="japaneseCounting"/>
      <w:lvlText w:val="%1、"/>
      <w:lvlJc w:val="left"/>
      <w:pPr>
        <w:ind w:left="360" w:hanging="360"/>
      </w:pPr>
      <w:rPr>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color w:val="FF000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D4044B"/>
    <w:multiLevelType w:val="multilevel"/>
    <w:tmpl w:val="42D4044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04B1144"/>
    <w:multiLevelType w:val="hybridMultilevel"/>
    <w:tmpl w:val="A61AD666"/>
    <w:lvl w:ilvl="0" w:tplc="E812A5B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551B04"/>
    <w:multiLevelType w:val="hybridMultilevel"/>
    <w:tmpl w:val="88EC6912"/>
    <w:lvl w:ilvl="0" w:tplc="D4EC1980">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856039"/>
    <w:multiLevelType w:val="hybridMultilevel"/>
    <w:tmpl w:val="6CEC1434"/>
    <w:lvl w:ilvl="0" w:tplc="89AE5ADE">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9336B4"/>
    <w:multiLevelType w:val="hybridMultilevel"/>
    <w:tmpl w:val="EA4E48E4"/>
    <w:lvl w:ilvl="0" w:tplc="2B32A1FC">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DED32A5"/>
    <w:multiLevelType w:val="multilevel"/>
    <w:tmpl w:val="7DED32A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num>
  <w:num w:numId="7">
    <w:abstractNumId w:val="1"/>
  </w:num>
  <w:num w:numId="8">
    <w:abstractNumId w:val="8"/>
  </w:num>
  <w:num w:numId="9">
    <w:abstractNumId w:val="13"/>
  </w:num>
  <w:num w:numId="10">
    <w:abstractNumId w:val="10"/>
  </w:num>
  <w:num w:numId="11">
    <w:abstractNumId w:val="11"/>
  </w:num>
  <w:num w:numId="12">
    <w:abstractNumId w:val="3"/>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5F1"/>
    <w:rsid w:val="0002255A"/>
    <w:rsid w:val="000E4A0B"/>
    <w:rsid w:val="001B6544"/>
    <w:rsid w:val="002E3E1B"/>
    <w:rsid w:val="00302E97"/>
    <w:rsid w:val="00321EC7"/>
    <w:rsid w:val="003454FE"/>
    <w:rsid w:val="004C4C77"/>
    <w:rsid w:val="00597114"/>
    <w:rsid w:val="00662048"/>
    <w:rsid w:val="00684C40"/>
    <w:rsid w:val="006B5BA3"/>
    <w:rsid w:val="006B6D0F"/>
    <w:rsid w:val="00790D90"/>
    <w:rsid w:val="00880FEC"/>
    <w:rsid w:val="008D2E3C"/>
    <w:rsid w:val="00941B2E"/>
    <w:rsid w:val="00AD558D"/>
    <w:rsid w:val="00B201F3"/>
    <w:rsid w:val="00B64D33"/>
    <w:rsid w:val="00BC2C60"/>
    <w:rsid w:val="00BD2500"/>
    <w:rsid w:val="00C510B5"/>
    <w:rsid w:val="00C94B32"/>
    <w:rsid w:val="00CC157F"/>
    <w:rsid w:val="00CF35F1"/>
    <w:rsid w:val="00D012B7"/>
    <w:rsid w:val="00DB1E5F"/>
    <w:rsid w:val="00DE7462"/>
    <w:rsid w:val="00F31448"/>
    <w:rsid w:val="00F74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40" w:after="240"/>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F1"/>
    <w:pPr>
      <w:widowControl w:val="0"/>
      <w:spacing w:before="0" w:after="0"/>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CF35F1"/>
    <w:rPr>
      <w:sz w:val="21"/>
      <w:szCs w:val="21"/>
    </w:rPr>
  </w:style>
  <w:style w:type="paragraph" w:styleId="a4">
    <w:name w:val="List Paragraph"/>
    <w:basedOn w:val="a"/>
    <w:uiPriority w:val="34"/>
    <w:qFormat/>
    <w:rsid w:val="003454FE"/>
    <w:pPr>
      <w:autoSpaceDE w:val="0"/>
      <w:autoSpaceDN w:val="0"/>
      <w:adjustRightInd w:val="0"/>
      <w:ind w:firstLineChars="200" w:firstLine="420"/>
      <w:jc w:val="left"/>
    </w:pPr>
    <w:rPr>
      <w:kern w:val="0"/>
      <w:sz w:val="20"/>
      <w:szCs w:val="20"/>
    </w:rPr>
  </w:style>
  <w:style w:type="paragraph" w:customStyle="1" w:styleId="PlainText1">
    <w:name w:val="Plain Text1"/>
    <w:basedOn w:val="a"/>
    <w:rsid w:val="003454FE"/>
    <w:rPr>
      <w:rFonts w:ascii="宋体" w:hAnsi="Courier New" w:cs="Courier New" w:hint="eastAsia"/>
      <w:kern w:val="0"/>
      <w:sz w:val="20"/>
      <w:szCs w:val="21"/>
    </w:rPr>
  </w:style>
  <w:style w:type="character" w:customStyle="1" w:styleId="ListParagraphChar">
    <w:name w:val="List Paragraph Char"/>
    <w:link w:val="1"/>
    <w:rsid w:val="003454FE"/>
    <w:rPr>
      <w:rFonts w:ascii="Times New Roman" w:eastAsia="宋体" w:hAnsi="Times New Roman" w:cs="Times New Roman"/>
      <w:szCs w:val="24"/>
    </w:rPr>
  </w:style>
  <w:style w:type="paragraph" w:customStyle="1" w:styleId="1">
    <w:name w:val="列出段落1"/>
    <w:basedOn w:val="a"/>
    <w:link w:val="ListParagraphChar"/>
    <w:rsid w:val="003454FE"/>
    <w:pPr>
      <w:ind w:firstLineChars="200" w:firstLine="420"/>
    </w:pPr>
  </w:style>
  <w:style w:type="paragraph" w:customStyle="1" w:styleId="ListParagraph2">
    <w:name w:val="List Paragraph2"/>
    <w:basedOn w:val="a"/>
    <w:rsid w:val="003454FE"/>
    <w:pPr>
      <w:autoSpaceDE w:val="0"/>
      <w:autoSpaceDN w:val="0"/>
      <w:adjustRightInd w:val="0"/>
      <w:ind w:firstLineChars="200" w:firstLine="420"/>
      <w:jc w:val="left"/>
    </w:pPr>
    <w:rPr>
      <w:rFonts w:ascii="Calibri" w:hAnsi="Calibri"/>
      <w:kern w:val="0"/>
      <w:sz w:val="20"/>
      <w:szCs w:val="20"/>
    </w:rPr>
  </w:style>
  <w:style w:type="paragraph" w:styleId="a5">
    <w:name w:val="header"/>
    <w:basedOn w:val="a"/>
    <w:link w:val="Char"/>
    <w:uiPriority w:val="99"/>
    <w:semiHidden/>
    <w:unhideWhenUsed/>
    <w:rsid w:val="0066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2048"/>
    <w:rPr>
      <w:rFonts w:ascii="Times New Roman" w:eastAsia="宋体" w:hAnsi="Times New Roman" w:cs="Times New Roman"/>
      <w:sz w:val="18"/>
      <w:szCs w:val="18"/>
    </w:rPr>
  </w:style>
  <w:style w:type="paragraph" w:styleId="a6">
    <w:name w:val="footer"/>
    <w:basedOn w:val="a"/>
    <w:link w:val="Char0"/>
    <w:uiPriority w:val="99"/>
    <w:semiHidden/>
    <w:unhideWhenUsed/>
    <w:rsid w:val="006620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20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295</Words>
  <Characters>1682</Characters>
  <Application>Microsoft Office Word</Application>
  <DocSecurity>0</DocSecurity>
  <Lines>14</Lines>
  <Paragraphs>3</Paragraphs>
  <ScaleCrop>false</ScaleCrop>
  <Company>gd2h</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JDK</dc:creator>
  <cp:lastModifiedBy>刘国红</cp:lastModifiedBy>
  <cp:revision>11</cp:revision>
  <dcterms:created xsi:type="dcterms:W3CDTF">2021-04-14T02:21:00Z</dcterms:created>
  <dcterms:modified xsi:type="dcterms:W3CDTF">2021-04-16T01:19:00Z</dcterms:modified>
</cp:coreProperties>
</file>