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B3D2" w14:textId="77777777" w:rsidR="006E4BD8" w:rsidRPr="005A35D3" w:rsidRDefault="005A35D3" w:rsidP="00232690">
      <w:pPr>
        <w:pStyle w:val="2"/>
        <w:jc w:val="center"/>
      </w:pPr>
      <w:r w:rsidRPr="005A35D3">
        <w:rPr>
          <w:rFonts w:hint="eastAsia"/>
        </w:rPr>
        <w:t>临床医学数据库项目</w:t>
      </w:r>
    </w:p>
    <w:p w14:paraId="38D660FF" w14:textId="5BB205D9" w:rsidR="006E4BD8" w:rsidRDefault="00FF033B" w:rsidP="00232690">
      <w:pPr>
        <w:pStyle w:val="3"/>
        <w:numPr>
          <w:ilvl w:val="0"/>
          <w:numId w:val="3"/>
        </w:numPr>
        <w:rPr>
          <w:sz w:val="28"/>
        </w:rPr>
      </w:pPr>
      <w:r>
        <w:rPr>
          <w:rFonts w:hint="eastAsia"/>
          <w:sz w:val="28"/>
        </w:rPr>
        <w:t>建设内容</w:t>
      </w:r>
    </w:p>
    <w:p w14:paraId="75DD2ED9" w14:textId="3D404915" w:rsidR="00FF033B" w:rsidRPr="00FF033B" w:rsidRDefault="00FF033B" w:rsidP="00FF033B">
      <w:pPr>
        <w:rPr>
          <w:rFonts w:ascii="宋体" w:hAnsi="宋体"/>
          <w:sz w:val="24"/>
        </w:rPr>
      </w:pPr>
      <w:r w:rsidRPr="00FF033B">
        <w:rPr>
          <w:rFonts w:ascii="宋体" w:hAnsi="宋体"/>
          <w:sz w:val="24"/>
        </w:rPr>
        <w:t>本</w:t>
      </w:r>
      <w:r w:rsidRPr="00FF033B">
        <w:rPr>
          <w:rFonts w:ascii="宋体" w:hAnsi="宋体" w:hint="eastAsia"/>
          <w:sz w:val="24"/>
        </w:rPr>
        <w:t>项目</w:t>
      </w:r>
      <w:r w:rsidRPr="00FF033B">
        <w:rPr>
          <w:rFonts w:ascii="宋体" w:hAnsi="宋体"/>
          <w:sz w:val="24"/>
        </w:rPr>
        <w:t>内容包括</w:t>
      </w:r>
      <w:r>
        <w:rPr>
          <w:rFonts w:ascii="宋体" w:hAnsi="宋体" w:hint="eastAsia"/>
          <w:sz w:val="24"/>
        </w:rPr>
        <w:t>以下</w:t>
      </w:r>
      <w:r>
        <w:rPr>
          <w:rFonts w:ascii="宋体" w:hAnsi="宋体"/>
          <w:sz w:val="24"/>
        </w:rPr>
        <w:t>服务</w:t>
      </w:r>
      <w:r>
        <w:rPr>
          <w:rFonts w:ascii="宋体" w:hAnsi="宋体" w:hint="eastAsia"/>
          <w:sz w:val="24"/>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709"/>
        <w:gridCol w:w="992"/>
        <w:gridCol w:w="3402"/>
      </w:tblGrid>
      <w:tr w:rsidR="009D254F" w:rsidRPr="006F2A2E" w14:paraId="5186A8AA" w14:textId="440B2AFE" w:rsidTr="00E409B1">
        <w:tc>
          <w:tcPr>
            <w:tcW w:w="832" w:type="dxa"/>
            <w:vAlign w:val="center"/>
          </w:tcPr>
          <w:p w14:paraId="415B308B" w14:textId="77777777" w:rsidR="009D254F" w:rsidRPr="00514EB6" w:rsidRDefault="009D254F" w:rsidP="00EB2D23">
            <w:pPr>
              <w:pStyle w:val="11"/>
              <w:jc w:val="center"/>
              <w:rPr>
                <w:rFonts w:ascii="宋体" w:hAnsi="宋体"/>
                <w:kern w:val="2"/>
                <w:szCs w:val="22"/>
              </w:rPr>
            </w:pPr>
            <w:r w:rsidRPr="00514EB6">
              <w:rPr>
                <w:rFonts w:ascii="宋体" w:hAnsi="宋体"/>
                <w:kern w:val="2"/>
                <w:szCs w:val="22"/>
              </w:rPr>
              <w:t>序号</w:t>
            </w:r>
          </w:p>
        </w:tc>
        <w:tc>
          <w:tcPr>
            <w:tcW w:w="2962" w:type="dxa"/>
            <w:vAlign w:val="center"/>
          </w:tcPr>
          <w:p w14:paraId="62622C1F" w14:textId="77777777" w:rsidR="009D254F" w:rsidRPr="00514EB6" w:rsidRDefault="009D254F" w:rsidP="00EB2D23">
            <w:pPr>
              <w:pStyle w:val="11"/>
              <w:jc w:val="center"/>
              <w:rPr>
                <w:rFonts w:ascii="宋体" w:hAnsi="宋体"/>
                <w:kern w:val="2"/>
                <w:szCs w:val="22"/>
              </w:rPr>
            </w:pPr>
            <w:r w:rsidRPr="00514EB6">
              <w:rPr>
                <w:rFonts w:ascii="宋体" w:hAnsi="宋体"/>
                <w:kern w:val="2"/>
                <w:szCs w:val="22"/>
              </w:rPr>
              <w:t>货物名称</w:t>
            </w:r>
          </w:p>
        </w:tc>
        <w:tc>
          <w:tcPr>
            <w:tcW w:w="709" w:type="dxa"/>
            <w:vAlign w:val="center"/>
          </w:tcPr>
          <w:p w14:paraId="6B43831E" w14:textId="77777777" w:rsidR="009D254F" w:rsidRPr="006F2A2E" w:rsidRDefault="009D254F" w:rsidP="00EB2D23">
            <w:pPr>
              <w:pStyle w:val="11"/>
              <w:jc w:val="center"/>
              <w:rPr>
                <w:rFonts w:ascii="宋体" w:hAnsi="宋体"/>
                <w:kern w:val="2"/>
                <w:szCs w:val="22"/>
              </w:rPr>
            </w:pPr>
            <w:r w:rsidRPr="006F2A2E">
              <w:rPr>
                <w:rFonts w:ascii="宋体" w:hAnsi="宋体"/>
                <w:kern w:val="2"/>
                <w:szCs w:val="22"/>
              </w:rPr>
              <w:t>数量</w:t>
            </w:r>
          </w:p>
        </w:tc>
        <w:tc>
          <w:tcPr>
            <w:tcW w:w="992" w:type="dxa"/>
            <w:vAlign w:val="center"/>
          </w:tcPr>
          <w:p w14:paraId="1809F848" w14:textId="18A27BED" w:rsidR="009D254F" w:rsidRPr="006F2A2E" w:rsidRDefault="009D254F" w:rsidP="00EB2D23">
            <w:pPr>
              <w:pStyle w:val="11"/>
              <w:jc w:val="center"/>
              <w:rPr>
                <w:rFonts w:ascii="宋体" w:hAnsi="宋体"/>
                <w:kern w:val="2"/>
                <w:szCs w:val="22"/>
              </w:rPr>
            </w:pPr>
            <w:r>
              <w:rPr>
                <w:rFonts w:ascii="宋体" w:hAnsi="宋体" w:hint="eastAsia"/>
                <w:kern w:val="2"/>
                <w:szCs w:val="22"/>
              </w:rPr>
              <w:t>服务期</w:t>
            </w:r>
          </w:p>
        </w:tc>
        <w:tc>
          <w:tcPr>
            <w:tcW w:w="3402" w:type="dxa"/>
          </w:tcPr>
          <w:p w14:paraId="7B7D19D4" w14:textId="038B6546" w:rsidR="009D254F" w:rsidRDefault="009D254F" w:rsidP="00EB2D23">
            <w:pPr>
              <w:pStyle w:val="11"/>
              <w:jc w:val="center"/>
              <w:rPr>
                <w:rFonts w:ascii="宋体" w:hAnsi="宋体" w:hint="eastAsia"/>
                <w:kern w:val="2"/>
                <w:szCs w:val="22"/>
              </w:rPr>
            </w:pPr>
            <w:r>
              <w:rPr>
                <w:rFonts w:ascii="宋体" w:hAnsi="宋体" w:hint="eastAsia"/>
                <w:kern w:val="2"/>
                <w:szCs w:val="22"/>
              </w:rPr>
              <w:t>时间</w:t>
            </w:r>
          </w:p>
        </w:tc>
      </w:tr>
      <w:tr w:rsidR="009D254F" w:rsidRPr="006F2A2E" w14:paraId="586F95F5" w14:textId="0954C5C4" w:rsidTr="00E409B1">
        <w:trPr>
          <w:trHeight w:val="468"/>
        </w:trPr>
        <w:tc>
          <w:tcPr>
            <w:tcW w:w="832" w:type="dxa"/>
            <w:vAlign w:val="center"/>
          </w:tcPr>
          <w:p w14:paraId="360158AD" w14:textId="77777777" w:rsidR="009D254F" w:rsidRPr="006F2A2E" w:rsidRDefault="009D254F" w:rsidP="00EB2D23">
            <w:pPr>
              <w:pStyle w:val="11"/>
              <w:jc w:val="center"/>
              <w:rPr>
                <w:rFonts w:ascii="宋体" w:hAnsi="宋体"/>
                <w:kern w:val="2"/>
                <w:szCs w:val="22"/>
              </w:rPr>
            </w:pPr>
            <w:r w:rsidRPr="006F2A2E">
              <w:rPr>
                <w:rFonts w:ascii="宋体" w:hAnsi="宋体"/>
                <w:kern w:val="2"/>
                <w:szCs w:val="22"/>
              </w:rPr>
              <w:t>1</w:t>
            </w:r>
          </w:p>
        </w:tc>
        <w:tc>
          <w:tcPr>
            <w:tcW w:w="2962" w:type="dxa"/>
            <w:vAlign w:val="center"/>
          </w:tcPr>
          <w:p w14:paraId="6CB3B34C" w14:textId="473489CF" w:rsidR="009D254F" w:rsidRPr="006F2A2E" w:rsidRDefault="009D254F" w:rsidP="00EB2D23">
            <w:pPr>
              <w:pStyle w:val="11"/>
              <w:rPr>
                <w:rFonts w:ascii="宋体" w:hAnsi="宋体"/>
                <w:kern w:val="2"/>
                <w:szCs w:val="22"/>
              </w:rPr>
            </w:pPr>
            <w:r w:rsidRPr="00FF033B">
              <w:rPr>
                <w:rFonts w:ascii="宋体" w:hAnsi="宋体" w:hint="eastAsia"/>
                <w:kern w:val="2"/>
                <w:szCs w:val="22"/>
              </w:rPr>
              <w:t>医学期刊全文数据库</w:t>
            </w:r>
          </w:p>
        </w:tc>
        <w:tc>
          <w:tcPr>
            <w:tcW w:w="709" w:type="dxa"/>
            <w:vAlign w:val="center"/>
          </w:tcPr>
          <w:p w14:paraId="44F24B44" w14:textId="77777777" w:rsidR="009D254F" w:rsidRPr="00EB4072" w:rsidRDefault="009D254F" w:rsidP="00EB2D23">
            <w:pPr>
              <w:pStyle w:val="11"/>
              <w:jc w:val="center"/>
              <w:rPr>
                <w:rFonts w:ascii="宋体" w:hAnsi="宋体"/>
                <w:kern w:val="2"/>
                <w:szCs w:val="22"/>
              </w:rPr>
            </w:pPr>
            <w:r w:rsidRPr="00EB4072">
              <w:rPr>
                <w:rFonts w:ascii="宋体" w:hAnsi="宋体"/>
                <w:kern w:val="2"/>
                <w:szCs w:val="22"/>
              </w:rPr>
              <w:t>1</w:t>
            </w:r>
            <w:r w:rsidRPr="00EB4072">
              <w:rPr>
                <w:rFonts w:ascii="宋体" w:hAnsi="宋体" w:hint="eastAsia"/>
                <w:kern w:val="2"/>
                <w:szCs w:val="22"/>
              </w:rPr>
              <w:t>项</w:t>
            </w:r>
          </w:p>
        </w:tc>
        <w:tc>
          <w:tcPr>
            <w:tcW w:w="992" w:type="dxa"/>
            <w:vAlign w:val="center"/>
          </w:tcPr>
          <w:p w14:paraId="1E3E55D5" w14:textId="4A693F43" w:rsidR="009D254F" w:rsidRPr="006F2A2E" w:rsidRDefault="009D254F" w:rsidP="009D254F">
            <w:pPr>
              <w:pStyle w:val="11"/>
              <w:rPr>
                <w:rFonts w:ascii="宋体" w:hAnsi="宋体"/>
                <w:kern w:val="2"/>
                <w:szCs w:val="22"/>
              </w:rPr>
            </w:pPr>
            <w:r>
              <w:rPr>
                <w:rFonts w:ascii="宋体" w:hAnsi="宋体" w:hint="eastAsia"/>
              </w:rPr>
              <w:t>三年</w:t>
            </w:r>
          </w:p>
        </w:tc>
        <w:tc>
          <w:tcPr>
            <w:tcW w:w="3402" w:type="dxa"/>
          </w:tcPr>
          <w:p w14:paraId="1433AB79" w14:textId="0FE1340D" w:rsidR="009D254F" w:rsidRDefault="009D254F" w:rsidP="009D254F">
            <w:pPr>
              <w:pStyle w:val="11"/>
              <w:rPr>
                <w:rFonts w:ascii="宋体" w:hAnsi="宋体" w:hint="eastAsia"/>
              </w:rPr>
            </w:pPr>
            <w:r w:rsidRPr="00D83AEE">
              <w:rPr>
                <w:rFonts w:ascii="宋体" w:hAnsi="宋体" w:hint="eastAsia"/>
              </w:rPr>
              <w:t>从2022年1月1日至2024年12月31日</w:t>
            </w:r>
          </w:p>
        </w:tc>
      </w:tr>
      <w:tr w:rsidR="009D254F" w:rsidRPr="006F2A2E" w14:paraId="166D9893" w14:textId="1D460E6F" w:rsidTr="00E409B1">
        <w:trPr>
          <w:trHeight w:val="468"/>
        </w:trPr>
        <w:tc>
          <w:tcPr>
            <w:tcW w:w="832" w:type="dxa"/>
            <w:vAlign w:val="center"/>
          </w:tcPr>
          <w:p w14:paraId="0E7BD955" w14:textId="1BA75441" w:rsidR="009D254F" w:rsidRPr="006F2A2E" w:rsidRDefault="009D254F" w:rsidP="00BD7BCD">
            <w:pPr>
              <w:pStyle w:val="11"/>
              <w:jc w:val="center"/>
              <w:rPr>
                <w:rFonts w:ascii="宋体" w:hAnsi="宋体"/>
                <w:kern w:val="2"/>
                <w:szCs w:val="22"/>
              </w:rPr>
            </w:pPr>
            <w:r>
              <w:rPr>
                <w:rFonts w:ascii="宋体" w:hAnsi="宋体" w:hint="eastAsia"/>
                <w:kern w:val="2"/>
                <w:szCs w:val="22"/>
              </w:rPr>
              <w:t>2</w:t>
            </w:r>
          </w:p>
        </w:tc>
        <w:tc>
          <w:tcPr>
            <w:tcW w:w="2962" w:type="dxa"/>
            <w:vAlign w:val="center"/>
          </w:tcPr>
          <w:p w14:paraId="404D5ADC" w14:textId="43547F60" w:rsidR="009D254F" w:rsidRPr="006F2A2E" w:rsidRDefault="009D254F" w:rsidP="00BD7BCD">
            <w:pPr>
              <w:pStyle w:val="11"/>
              <w:rPr>
                <w:rFonts w:ascii="宋体" w:hAnsi="宋体"/>
                <w:kern w:val="2"/>
                <w:szCs w:val="22"/>
              </w:rPr>
            </w:pPr>
            <w:r w:rsidRPr="00FF033B">
              <w:rPr>
                <w:rFonts w:ascii="宋体" w:hAnsi="宋体" w:hint="eastAsia"/>
                <w:kern w:val="2"/>
                <w:szCs w:val="22"/>
              </w:rPr>
              <w:t>医学博硕士学位论文全文数据库</w:t>
            </w:r>
          </w:p>
        </w:tc>
        <w:tc>
          <w:tcPr>
            <w:tcW w:w="709" w:type="dxa"/>
            <w:vAlign w:val="center"/>
          </w:tcPr>
          <w:p w14:paraId="72A3809C" w14:textId="631B1857" w:rsidR="009D254F" w:rsidRPr="00EB4072" w:rsidRDefault="009D254F" w:rsidP="00BD7BCD">
            <w:pPr>
              <w:pStyle w:val="11"/>
              <w:jc w:val="center"/>
              <w:rPr>
                <w:rFonts w:ascii="宋体" w:hAnsi="宋体"/>
                <w:kern w:val="2"/>
                <w:szCs w:val="22"/>
              </w:rPr>
            </w:pPr>
            <w:r w:rsidRPr="00EB4072">
              <w:rPr>
                <w:rFonts w:ascii="宋体" w:hAnsi="宋体"/>
                <w:kern w:val="2"/>
                <w:szCs w:val="22"/>
              </w:rPr>
              <w:t>1</w:t>
            </w:r>
            <w:r w:rsidRPr="00EB4072">
              <w:rPr>
                <w:rFonts w:ascii="宋体" w:hAnsi="宋体" w:hint="eastAsia"/>
                <w:kern w:val="2"/>
                <w:szCs w:val="22"/>
              </w:rPr>
              <w:t>项</w:t>
            </w:r>
          </w:p>
        </w:tc>
        <w:tc>
          <w:tcPr>
            <w:tcW w:w="992" w:type="dxa"/>
            <w:vAlign w:val="center"/>
          </w:tcPr>
          <w:p w14:paraId="0589E6F2" w14:textId="111D19BD" w:rsidR="009D254F" w:rsidRPr="00514EB6" w:rsidRDefault="009D254F" w:rsidP="009D254F">
            <w:pPr>
              <w:pStyle w:val="11"/>
              <w:rPr>
                <w:rFonts w:ascii="宋体" w:hAnsi="宋体"/>
                <w:kern w:val="2"/>
                <w:szCs w:val="22"/>
              </w:rPr>
            </w:pPr>
            <w:r>
              <w:rPr>
                <w:rFonts w:ascii="宋体" w:hAnsi="宋体" w:hint="eastAsia"/>
              </w:rPr>
              <w:t>三年</w:t>
            </w:r>
          </w:p>
        </w:tc>
        <w:tc>
          <w:tcPr>
            <w:tcW w:w="3402" w:type="dxa"/>
          </w:tcPr>
          <w:p w14:paraId="23A48B1F" w14:textId="7B5B5617" w:rsidR="009D254F" w:rsidRDefault="009D254F" w:rsidP="00BD7BCD">
            <w:pPr>
              <w:pStyle w:val="11"/>
              <w:rPr>
                <w:rFonts w:ascii="宋体" w:hAnsi="宋体" w:hint="eastAsia"/>
              </w:rPr>
            </w:pPr>
            <w:r w:rsidRPr="00ED41C8">
              <w:rPr>
                <w:rFonts w:ascii="宋体" w:hAnsi="宋体" w:hint="eastAsia"/>
              </w:rPr>
              <w:t>从2022年1月1日至2024年12月31日</w:t>
            </w:r>
          </w:p>
        </w:tc>
      </w:tr>
      <w:tr w:rsidR="009D254F" w:rsidRPr="006F2A2E" w14:paraId="1256C882" w14:textId="7A79F315" w:rsidTr="00E409B1">
        <w:trPr>
          <w:trHeight w:val="468"/>
        </w:trPr>
        <w:tc>
          <w:tcPr>
            <w:tcW w:w="832" w:type="dxa"/>
            <w:vAlign w:val="center"/>
          </w:tcPr>
          <w:p w14:paraId="02F0CAA3" w14:textId="7D57F4F0" w:rsidR="009D254F" w:rsidRPr="006F2A2E" w:rsidRDefault="009D254F" w:rsidP="00BD7BCD">
            <w:pPr>
              <w:pStyle w:val="11"/>
              <w:jc w:val="center"/>
              <w:rPr>
                <w:rFonts w:ascii="宋体" w:hAnsi="宋体"/>
                <w:kern w:val="2"/>
                <w:szCs w:val="22"/>
              </w:rPr>
            </w:pPr>
            <w:r>
              <w:rPr>
                <w:rFonts w:ascii="宋体" w:hAnsi="宋体" w:hint="eastAsia"/>
                <w:kern w:val="2"/>
                <w:szCs w:val="22"/>
              </w:rPr>
              <w:t>3</w:t>
            </w:r>
          </w:p>
        </w:tc>
        <w:tc>
          <w:tcPr>
            <w:tcW w:w="2962" w:type="dxa"/>
            <w:vAlign w:val="center"/>
          </w:tcPr>
          <w:p w14:paraId="6A9A768D" w14:textId="1C10E4F4" w:rsidR="009D254F" w:rsidRPr="006F2A2E" w:rsidRDefault="009D254F" w:rsidP="00BD7BCD">
            <w:pPr>
              <w:pStyle w:val="11"/>
              <w:rPr>
                <w:rFonts w:ascii="宋体" w:hAnsi="宋体"/>
                <w:kern w:val="2"/>
                <w:szCs w:val="22"/>
              </w:rPr>
            </w:pPr>
            <w:r w:rsidRPr="00FF033B">
              <w:rPr>
                <w:rFonts w:ascii="宋体" w:hAnsi="宋体" w:hint="eastAsia"/>
                <w:kern w:val="2"/>
                <w:szCs w:val="22"/>
              </w:rPr>
              <w:t>临床诊疗知识库</w:t>
            </w:r>
          </w:p>
        </w:tc>
        <w:tc>
          <w:tcPr>
            <w:tcW w:w="709" w:type="dxa"/>
            <w:vAlign w:val="center"/>
          </w:tcPr>
          <w:p w14:paraId="42C2E6ED" w14:textId="2181B931" w:rsidR="009D254F" w:rsidRPr="00EB4072" w:rsidRDefault="009D254F" w:rsidP="00BD7BCD">
            <w:pPr>
              <w:pStyle w:val="11"/>
              <w:jc w:val="center"/>
              <w:rPr>
                <w:rFonts w:ascii="宋体" w:hAnsi="宋体"/>
                <w:kern w:val="2"/>
                <w:szCs w:val="22"/>
              </w:rPr>
            </w:pPr>
            <w:r w:rsidRPr="00EB4072">
              <w:rPr>
                <w:rFonts w:ascii="宋体" w:hAnsi="宋体"/>
                <w:kern w:val="2"/>
                <w:szCs w:val="22"/>
              </w:rPr>
              <w:t>1</w:t>
            </w:r>
            <w:r w:rsidRPr="00EB4072">
              <w:rPr>
                <w:rFonts w:ascii="宋体" w:hAnsi="宋体" w:hint="eastAsia"/>
                <w:kern w:val="2"/>
                <w:szCs w:val="22"/>
              </w:rPr>
              <w:t>项</w:t>
            </w:r>
          </w:p>
        </w:tc>
        <w:tc>
          <w:tcPr>
            <w:tcW w:w="992" w:type="dxa"/>
            <w:vAlign w:val="center"/>
          </w:tcPr>
          <w:p w14:paraId="4A21EB90" w14:textId="19964993" w:rsidR="009D254F" w:rsidRPr="00514EB6" w:rsidRDefault="009D254F" w:rsidP="009D254F">
            <w:pPr>
              <w:pStyle w:val="11"/>
              <w:rPr>
                <w:rFonts w:ascii="宋体" w:hAnsi="宋体"/>
                <w:kern w:val="2"/>
                <w:szCs w:val="22"/>
              </w:rPr>
            </w:pPr>
            <w:r>
              <w:rPr>
                <w:rFonts w:ascii="宋体" w:hAnsi="宋体" w:hint="eastAsia"/>
              </w:rPr>
              <w:t>三年</w:t>
            </w:r>
          </w:p>
        </w:tc>
        <w:tc>
          <w:tcPr>
            <w:tcW w:w="3402" w:type="dxa"/>
          </w:tcPr>
          <w:p w14:paraId="336F7021" w14:textId="66F9A13D" w:rsidR="009D254F" w:rsidRDefault="009D254F" w:rsidP="00BD7BCD">
            <w:pPr>
              <w:pStyle w:val="11"/>
              <w:rPr>
                <w:rFonts w:ascii="宋体" w:hAnsi="宋体" w:hint="eastAsia"/>
              </w:rPr>
            </w:pPr>
            <w:r w:rsidRPr="00ED41C8">
              <w:rPr>
                <w:rFonts w:ascii="宋体" w:hAnsi="宋体" w:hint="eastAsia"/>
              </w:rPr>
              <w:t>从2022年1月1日至2024年12月31日</w:t>
            </w:r>
            <w:bookmarkStart w:id="0" w:name="_GoBack"/>
            <w:bookmarkEnd w:id="0"/>
          </w:p>
        </w:tc>
      </w:tr>
      <w:tr w:rsidR="009D254F" w:rsidRPr="006F2A2E" w14:paraId="6ACDA90E" w14:textId="552D736F" w:rsidTr="00E409B1">
        <w:trPr>
          <w:trHeight w:val="468"/>
        </w:trPr>
        <w:tc>
          <w:tcPr>
            <w:tcW w:w="832" w:type="dxa"/>
            <w:vAlign w:val="center"/>
          </w:tcPr>
          <w:p w14:paraId="652411A6" w14:textId="325C854A" w:rsidR="009D254F" w:rsidRPr="006F2A2E" w:rsidRDefault="009D254F" w:rsidP="00BD7BCD">
            <w:pPr>
              <w:pStyle w:val="11"/>
              <w:jc w:val="center"/>
              <w:rPr>
                <w:rFonts w:ascii="宋体" w:hAnsi="宋体"/>
                <w:kern w:val="2"/>
                <w:szCs w:val="22"/>
              </w:rPr>
            </w:pPr>
            <w:r>
              <w:rPr>
                <w:rFonts w:ascii="宋体" w:hAnsi="宋体" w:hint="eastAsia"/>
                <w:kern w:val="2"/>
                <w:szCs w:val="22"/>
              </w:rPr>
              <w:t>4</w:t>
            </w:r>
          </w:p>
        </w:tc>
        <w:tc>
          <w:tcPr>
            <w:tcW w:w="2962" w:type="dxa"/>
            <w:vAlign w:val="center"/>
          </w:tcPr>
          <w:p w14:paraId="33C60B43" w14:textId="4CF1C119" w:rsidR="009D254F" w:rsidRPr="00FF033B" w:rsidRDefault="009D254F" w:rsidP="00BD7BCD">
            <w:pPr>
              <w:pStyle w:val="11"/>
              <w:rPr>
                <w:rFonts w:ascii="宋体" w:hAnsi="宋体"/>
                <w:kern w:val="2"/>
                <w:szCs w:val="22"/>
              </w:rPr>
            </w:pPr>
            <w:r>
              <w:rPr>
                <w:rFonts w:ascii="宋体" w:hAnsi="宋体" w:hint="eastAsia"/>
                <w:kern w:val="2"/>
                <w:szCs w:val="22"/>
              </w:rPr>
              <w:t>中华医学会全文医学期刊数据库</w:t>
            </w:r>
          </w:p>
        </w:tc>
        <w:tc>
          <w:tcPr>
            <w:tcW w:w="709" w:type="dxa"/>
            <w:vAlign w:val="center"/>
          </w:tcPr>
          <w:p w14:paraId="4FAAC9C7" w14:textId="08AA62BF" w:rsidR="009D254F" w:rsidRPr="00EB4072" w:rsidRDefault="009D254F" w:rsidP="00BD7BCD">
            <w:pPr>
              <w:pStyle w:val="11"/>
              <w:jc w:val="center"/>
              <w:rPr>
                <w:rFonts w:ascii="宋体" w:hAnsi="宋体"/>
                <w:kern w:val="2"/>
                <w:szCs w:val="22"/>
              </w:rPr>
            </w:pPr>
            <w:r w:rsidRPr="00EB4072">
              <w:rPr>
                <w:rFonts w:ascii="宋体" w:hAnsi="宋体"/>
                <w:kern w:val="2"/>
                <w:szCs w:val="22"/>
              </w:rPr>
              <w:t>1</w:t>
            </w:r>
            <w:r w:rsidRPr="00EB4072">
              <w:rPr>
                <w:rFonts w:ascii="宋体" w:hAnsi="宋体" w:hint="eastAsia"/>
                <w:kern w:val="2"/>
                <w:szCs w:val="22"/>
              </w:rPr>
              <w:t>项</w:t>
            </w:r>
          </w:p>
        </w:tc>
        <w:tc>
          <w:tcPr>
            <w:tcW w:w="992" w:type="dxa"/>
            <w:vAlign w:val="center"/>
          </w:tcPr>
          <w:p w14:paraId="660BB939" w14:textId="52C40CFA" w:rsidR="009D254F" w:rsidRPr="00514EB6" w:rsidRDefault="009D254F" w:rsidP="009D254F">
            <w:pPr>
              <w:pStyle w:val="11"/>
              <w:rPr>
                <w:rFonts w:ascii="宋体" w:hAnsi="宋体"/>
                <w:kern w:val="2"/>
                <w:szCs w:val="22"/>
              </w:rPr>
            </w:pPr>
            <w:r>
              <w:rPr>
                <w:rFonts w:ascii="宋体" w:hAnsi="宋体" w:hint="eastAsia"/>
              </w:rPr>
              <w:t>三年</w:t>
            </w:r>
          </w:p>
        </w:tc>
        <w:tc>
          <w:tcPr>
            <w:tcW w:w="3402" w:type="dxa"/>
          </w:tcPr>
          <w:p w14:paraId="4BB2542C" w14:textId="28FE7266" w:rsidR="009D254F" w:rsidRDefault="009D254F" w:rsidP="00BD7BCD">
            <w:pPr>
              <w:pStyle w:val="11"/>
              <w:rPr>
                <w:rFonts w:ascii="宋体" w:hAnsi="宋体" w:hint="eastAsia"/>
              </w:rPr>
            </w:pPr>
            <w:r w:rsidRPr="00ED41C8">
              <w:rPr>
                <w:rFonts w:ascii="宋体" w:hAnsi="宋体" w:hint="eastAsia"/>
              </w:rPr>
              <w:t>从2022年7月26日至2025年7月25日</w:t>
            </w:r>
          </w:p>
        </w:tc>
      </w:tr>
    </w:tbl>
    <w:p w14:paraId="56CB2C93" w14:textId="3F76F8F8" w:rsidR="006C74D7" w:rsidRPr="006C74D7" w:rsidRDefault="006C74D7" w:rsidP="0018397F">
      <w:pPr>
        <w:pStyle w:val="3"/>
        <w:numPr>
          <w:ilvl w:val="0"/>
          <w:numId w:val="3"/>
        </w:numPr>
      </w:pPr>
      <w:r w:rsidRPr="006C74D7">
        <w:rPr>
          <w:rFonts w:hint="eastAsia"/>
          <w:sz w:val="28"/>
        </w:rPr>
        <w:t>医学期刊全文数据库</w:t>
      </w:r>
    </w:p>
    <w:p w14:paraId="1353EB15"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1．内容要求：中国公开出版发行的医学及医学相关期刊（含英文版）全文文献，内容涵盖基础医学、临床医学、预防医学、中国医学、 药学、特种医学、生物科学、经营管理、图书情报、计算机及应用、医学教育与外语学习；</w:t>
      </w:r>
    </w:p>
    <w:p w14:paraId="156E534E"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2．数量：数据库收录文献量在1600万篇以上；同时提供本地镜像版加网络版两种使用模式；</w:t>
      </w:r>
    </w:p>
    <w:p w14:paraId="447EA689"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3．时间范围：系统支持1994年至今的期刊年度数据。</w:t>
      </w:r>
    </w:p>
    <w:p w14:paraId="49C7AF62"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4．数据更新：出版时效平均不迟于纸质期刊出版之后2个月，网络数据每日更新；</w:t>
      </w:r>
    </w:p>
    <w:p w14:paraId="0CA025BC"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5．应具备在线浏览及本地下载全文功能；</w:t>
      </w:r>
    </w:p>
    <w:p w14:paraId="76D45CAF"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6．此库应为“卫生部医药卫生科技项目查新使用数据库”；</w:t>
      </w:r>
    </w:p>
    <w:p w14:paraId="4BF4990A"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7．提供智能检索、高级检索、专业检索、句子检索、主题词注释库等基本检索功能；</w:t>
      </w:r>
    </w:p>
    <w:p w14:paraId="019FEB07"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8．提供：主要主题、主题、分类、期刊年限、刊名、作者、第一作者、作者单</w:t>
      </w:r>
      <w:r w:rsidRPr="0029207C">
        <w:rPr>
          <w:rFonts w:ascii="宋体" w:eastAsia="宋体" w:hAnsi="宋体" w:hint="eastAsia"/>
          <w:sz w:val="24"/>
          <w:szCs w:val="24"/>
        </w:rPr>
        <w:lastRenderedPageBreak/>
        <w:t>位、题名、关键词、摘要、题名&amp;关键词&amp;摘要、全文等多种检索项，并支持模糊和精确检索；</w:t>
      </w:r>
    </w:p>
    <w:p w14:paraId="6F082F93"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9．网络版支持实质整合PubMed数据，实现中外文献一站式检索并统一分析，且能提供截图证明文件；</w:t>
      </w:r>
    </w:p>
    <w:p w14:paraId="281617E9"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10．网络版平台支持检索获取医学最新“网络首发”文献，方便用户快速发现最新文献，且能提供截图证明文件；</w:t>
      </w:r>
    </w:p>
    <w:p w14:paraId="72A00E3F"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11．网络版部分全文支持HTML阅读模式阅读全文，且提供截图证明文件；</w:t>
      </w:r>
    </w:p>
    <w:p w14:paraId="014F8778"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12．提供参考文献、引证文献、共引文献、同被引文献等知网节链接，实现文献深度挖掘的重要功能；</w:t>
      </w:r>
    </w:p>
    <w:p w14:paraId="630CAE61"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13．检索结果提供按照不同作者、作者单位以及研究层次等3种以上分组方式，提供发表时间、下载频次、被引频次等不少于3种排序方式；</w:t>
      </w:r>
    </w:p>
    <w:p w14:paraId="788AAA62"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14．可实现对用户的访问和使用情况进行详细的记录，并进行统计分析。可按时间、用户、IP地址等方式进行统计分析；</w:t>
      </w:r>
    </w:p>
    <w:p w14:paraId="7AB77386"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15．导航体系：提供分类导航、知识导航与期刊导航；</w:t>
      </w:r>
    </w:p>
    <w:p w14:paraId="6AD7DAAE"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16．该数据库文件阅读器为具有自主知识产权的阅读器，支持打开PDF文档，且实现文字复制粘贴功能，支持划词链接功能；且能提供截图证明文件；</w:t>
      </w:r>
    </w:p>
    <w:p w14:paraId="75ED40EA"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17．具有医学专业主题分类智能系统统，须每年更新，与国际接轨，能提供MeSH2020年词汇。以全力学术战“疫”、全新专业主题词、全方位揭示生物体信息、全球互联网医疗为服务特色，及全面系统知识结构展现的推进，能够充分满足且促进医药卫生系统专业人员及广大用户对专业术语、研究趋势、国际热点的认知、熟悉、掌握及应用。提供“SARS-Cov-2、COVID-19、细胞因子释放综合征、脂质组学、基于互联网的干预”主题词检索截图证明文件；</w:t>
      </w:r>
    </w:p>
    <w:p w14:paraId="29E04D04" w14:textId="77777777" w:rsidR="006E4BD8" w:rsidRPr="0029207C" w:rsidRDefault="006E4BD8" w:rsidP="00131B72">
      <w:pPr>
        <w:spacing w:line="360" w:lineRule="auto"/>
        <w:rPr>
          <w:rFonts w:ascii="宋体" w:eastAsia="宋体" w:hAnsi="宋体" w:cs="仿宋"/>
          <w:sz w:val="24"/>
          <w:szCs w:val="24"/>
        </w:rPr>
      </w:pPr>
    </w:p>
    <w:p w14:paraId="1CF75D9C" w14:textId="77777777" w:rsidR="006E4BD8" w:rsidRPr="00232690" w:rsidRDefault="006E4BD8" w:rsidP="00232690">
      <w:pPr>
        <w:pStyle w:val="3"/>
        <w:numPr>
          <w:ilvl w:val="0"/>
          <w:numId w:val="3"/>
        </w:numPr>
        <w:rPr>
          <w:sz w:val="28"/>
        </w:rPr>
      </w:pPr>
      <w:r w:rsidRPr="00232690">
        <w:rPr>
          <w:rFonts w:hint="eastAsia"/>
          <w:sz w:val="28"/>
        </w:rPr>
        <w:t>医学博硕士学位论文全文数据库</w:t>
      </w:r>
    </w:p>
    <w:p w14:paraId="58CEE444"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1．内容要求：集成整合我国的优秀博士、硕士学位论文和各类高等教育、医药卫生行业研究领域的创新性文献资源，内容涵盖基础医学、临床医学、预防医学、中国医学、 药学、特种医学、生物科学、经营管理、图书情报、医学教育；</w:t>
      </w:r>
    </w:p>
    <w:p w14:paraId="1417E032"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2．数量：收录文献量80万篇以上；同时提供本地镜像版加网络版两种使用模式；</w:t>
      </w:r>
    </w:p>
    <w:p w14:paraId="73008952"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lastRenderedPageBreak/>
        <w:t>3．时间范围：提供2000年至今的年度数据；</w:t>
      </w:r>
    </w:p>
    <w:p w14:paraId="76A1009A"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4．数据更新：大多数论文出版不晚于授予学位之后2个月。网络数据每日更新；</w:t>
      </w:r>
    </w:p>
    <w:p w14:paraId="19A110DA"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5．应具备在线浏览及本地下载全文功能；</w:t>
      </w:r>
    </w:p>
    <w:p w14:paraId="53104D3E"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6．提供智能检索、高级检索、专业检索、句子检索、主题词注释库等基本检索功能；且须提供句子检索截图证明；</w:t>
      </w:r>
    </w:p>
    <w:p w14:paraId="33701964"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7．提供主要主题、主题、分类、篇名、关键词、摘要、作者、作者单位、目录、学位单位、全文、基金、论文级别等多种检索项；</w:t>
      </w:r>
    </w:p>
    <w:p w14:paraId="6E8AF14F"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8．提供参考文献、引证文献、共引文献、同行关注文献、相同导师文献、相关作者文献等功能；</w:t>
      </w:r>
    </w:p>
    <w:p w14:paraId="635857B0"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9．可实现对用户的访问和使用情况进行详细的记录，并进行统计分析。可按时间、用户、IP地址等方式进行统计分析；</w:t>
      </w:r>
    </w:p>
    <w:p w14:paraId="4F28DBAB"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10．提供分章下载、整本下载、分页下载功能。且提供截图证明文件；</w:t>
      </w:r>
    </w:p>
    <w:p w14:paraId="6D801C10"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11．具有医学专业主题分类智能系统统，须每年更新，与国际接轨，能提供MeSH2020年词汇。以全力学术战“疫”、全新专业主题词、全方位揭示生物体信息、全球互联网医疗为服务特色，及全面系统知识结构展现的推进，能够充分满足且促进医药卫生系统专业人员及广大用户对专业术语、研究趋势、国际热点的认知、熟悉、掌握及应用。提供“SARS-Cov-2、COVID-19、细胞因子释放综合征、脂质组学、基于互联网的干预”主题词检索截图证明文件；</w:t>
      </w:r>
    </w:p>
    <w:p w14:paraId="66C1960F" w14:textId="77777777" w:rsidR="006E4BD8" w:rsidRPr="0029207C" w:rsidRDefault="006E4BD8" w:rsidP="00131B72">
      <w:pPr>
        <w:spacing w:line="360" w:lineRule="auto"/>
        <w:rPr>
          <w:rFonts w:ascii="宋体" w:eastAsia="宋体" w:hAnsi="宋体" w:cs="仿宋"/>
          <w:sz w:val="24"/>
          <w:szCs w:val="24"/>
        </w:rPr>
      </w:pPr>
    </w:p>
    <w:p w14:paraId="2BA6AE38" w14:textId="77777777" w:rsidR="006E4BD8" w:rsidRPr="00D278F2" w:rsidRDefault="006E4BD8" w:rsidP="00D278F2">
      <w:pPr>
        <w:pStyle w:val="3"/>
        <w:numPr>
          <w:ilvl w:val="0"/>
          <w:numId w:val="3"/>
        </w:numPr>
        <w:rPr>
          <w:sz w:val="28"/>
        </w:rPr>
      </w:pPr>
      <w:r w:rsidRPr="00D278F2">
        <w:rPr>
          <w:rFonts w:hint="eastAsia"/>
          <w:sz w:val="28"/>
        </w:rPr>
        <w:t>临床诊疗知识库</w:t>
      </w:r>
    </w:p>
    <w:p w14:paraId="34765BFB"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&lt;1&gt;、基本要求</w:t>
      </w:r>
    </w:p>
    <w:p w14:paraId="3BB38A85"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1.1、系统支持病房医师、门诊医师、病房护士等角色使用。</w:t>
      </w:r>
    </w:p>
    <w:p w14:paraId="71D5DE17"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1.2、临床诊疗知识库更新要求：提供服务期内的数据更新服务。同时提供本地镜像版加网络版两种使用模式。</w:t>
      </w:r>
    </w:p>
    <w:p w14:paraId="34B60707" w14:textId="037312BD"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1.3</w:t>
      </w:r>
      <w:r w:rsidR="001E7180">
        <w:rPr>
          <w:rFonts w:ascii="宋体" w:eastAsia="宋体" w:hAnsi="宋体" w:hint="eastAsia"/>
          <w:sz w:val="24"/>
          <w:szCs w:val="24"/>
        </w:rPr>
        <w:t>、</w:t>
      </w:r>
      <w:r w:rsidR="00D96E61">
        <w:rPr>
          <w:rFonts w:ascii="宋体" w:eastAsia="宋体" w:hAnsi="宋体" w:hint="eastAsia"/>
          <w:sz w:val="24"/>
          <w:szCs w:val="24"/>
        </w:rPr>
        <w:t>▲</w:t>
      </w:r>
      <w:r w:rsidRPr="0029207C">
        <w:rPr>
          <w:rFonts w:ascii="宋体" w:eastAsia="宋体" w:hAnsi="宋体" w:hint="eastAsia"/>
          <w:sz w:val="24"/>
          <w:szCs w:val="24"/>
        </w:rPr>
        <w:t>所投产品应是成熟的应用产品，具有合法的知识产权，需提供系统著作权登记证书。</w:t>
      </w:r>
    </w:p>
    <w:p w14:paraId="463855F5" w14:textId="27274466"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1.4、</w:t>
      </w:r>
      <w:r w:rsidR="00D96E61">
        <w:rPr>
          <w:rFonts w:ascii="宋体" w:eastAsia="宋体" w:hAnsi="宋体" w:hint="eastAsia"/>
          <w:sz w:val="24"/>
          <w:szCs w:val="24"/>
        </w:rPr>
        <w:t>▲</w:t>
      </w:r>
      <w:r w:rsidRPr="0029207C">
        <w:rPr>
          <w:rFonts w:ascii="宋体" w:eastAsia="宋体" w:hAnsi="宋体" w:hint="eastAsia"/>
          <w:sz w:val="24"/>
          <w:szCs w:val="24"/>
        </w:rPr>
        <w:t>提供的底层数据管理系统产品需要为具备自主知识产权的国产非结构化全文管理数据库，具备中文智能信息处理能力，需提供系统著作权登记证书。</w:t>
      </w:r>
    </w:p>
    <w:p w14:paraId="7A467D9A" w14:textId="14938DDF"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lastRenderedPageBreak/>
        <w:t xml:space="preserve">1.5 </w:t>
      </w:r>
      <w:r w:rsidR="00D96E61">
        <w:rPr>
          <w:rFonts w:ascii="宋体" w:eastAsia="宋体" w:hAnsi="宋体" w:hint="eastAsia"/>
          <w:sz w:val="24"/>
          <w:szCs w:val="24"/>
        </w:rPr>
        <w:t>▲</w:t>
      </w:r>
      <w:r w:rsidRPr="0029207C">
        <w:rPr>
          <w:rFonts w:ascii="宋体" w:eastAsia="宋体" w:hAnsi="宋体" w:hint="eastAsia"/>
          <w:sz w:val="24"/>
          <w:szCs w:val="24"/>
        </w:rPr>
        <w:t xml:space="preserve"> 病例文献、循证文献等知识内容，版权来源合法要求：能提供部分重要杂志版权授权文件复印件及知识内容合法应用关系证明。</w:t>
      </w:r>
    </w:p>
    <w:p w14:paraId="7D4D88D5"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&lt;2&gt;、临床知识体系建设要求</w:t>
      </w:r>
    </w:p>
    <w:p w14:paraId="22875861"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2.1以公开发表且经过同行评议的中国临床指南、图书、药品说明书、用药指南等权威信息为来源，通过组织、挖掘、加工、关联，形成以疾病为核心的覆盖诊疗全程的知识库体系。</w:t>
      </w:r>
    </w:p>
    <w:p w14:paraId="3D564499"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2.2以疾病、症状、检查、药品、指南、护理知识、循证和病例文献为基础，通过整合设计，关联知识点，验证基本症状体征，及时向医护人员提供信息反馈和提示，并在知识细览页面提供相关临床文献扩展阅读。</w:t>
      </w:r>
    </w:p>
    <w:p w14:paraId="319286BD" w14:textId="237626B2"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2.3</w:t>
      </w:r>
      <w:r w:rsidR="00D96E61">
        <w:rPr>
          <w:rFonts w:ascii="宋体" w:eastAsia="宋体" w:hAnsi="宋体" w:hint="eastAsia"/>
          <w:sz w:val="24"/>
          <w:szCs w:val="24"/>
        </w:rPr>
        <w:t>▲</w:t>
      </w:r>
      <w:r w:rsidRPr="0029207C">
        <w:rPr>
          <w:rFonts w:ascii="宋体" w:eastAsia="宋体" w:hAnsi="宋体" w:hint="eastAsia"/>
          <w:sz w:val="24"/>
          <w:szCs w:val="24"/>
        </w:rPr>
        <w:t>数据资源应涵盖至少9000种疾病；2000多项辅助检查；20000多种药品，2700多种临床操作规范、1万多篇指南规范、1800多条各科护理知识、30余万篇病例文献，最新医学研究期刊文献350多万篇、循证文献多于30万篇。</w:t>
      </w:r>
    </w:p>
    <w:p w14:paraId="5D47BC60"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2.4应包含完整的辅助检查知识点，即除实验室检查外，还应包含影像学检查、电生理检查、核医学。（此参数要求提供检索功能截图）。</w:t>
      </w:r>
    </w:p>
    <w:p w14:paraId="2412A62A"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2.5疾病知识、检查知识、操作规范知识可配以图表进行阐释说明的，应有图表注释。（此参数要求提供产品功能截图）</w:t>
      </w:r>
    </w:p>
    <w:p w14:paraId="7A7D5353"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2.6应包含各种操作规范，如一般诊疗技术常规、美容整形技术、各科室操作规范。（此参数要求提供产品功能截图）</w:t>
      </w:r>
    </w:p>
    <w:p w14:paraId="34F28E97" w14:textId="3D7780FB"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2.7</w:t>
      </w:r>
      <w:r w:rsidR="00D96E61">
        <w:rPr>
          <w:rFonts w:ascii="宋体" w:eastAsia="宋体" w:hAnsi="宋体" w:hint="eastAsia"/>
          <w:sz w:val="24"/>
          <w:szCs w:val="24"/>
        </w:rPr>
        <w:t>▲</w:t>
      </w:r>
      <w:r w:rsidRPr="0029207C">
        <w:rPr>
          <w:rFonts w:ascii="宋体" w:eastAsia="宋体" w:hAnsi="宋体" w:hint="eastAsia"/>
          <w:sz w:val="24"/>
          <w:szCs w:val="24"/>
        </w:rPr>
        <w:t>用英文关键词检索时能检索出中文疾病名全称，查看全文，有完整的检索结果。（此参数要求提供产品功能截图）。</w:t>
      </w:r>
    </w:p>
    <w:p w14:paraId="5854FF03"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2.8支持知识库搜索功能，医生可以根据需要实时查询需要的知识库内容。医生可输入任意临床医学关键字进行搜索诊疗知识库中的相关信息；包含疾病、药品说明书、文献、最新指南等。</w:t>
      </w:r>
    </w:p>
    <w:p w14:paraId="4FC7ECDB"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2.9该数据库具有知识检索、知识导航、知识提示、知识关联功能。</w:t>
      </w:r>
    </w:p>
    <w:p w14:paraId="43D6746F"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2.10支持知识库全文检索和按任意字段如症状、体征、检查、检验、手术、药品等的组合搜索。</w:t>
      </w:r>
    </w:p>
    <w:p w14:paraId="153DAF3A"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&lt;3&gt;、辅助诊疗功能建设要求</w:t>
      </w:r>
    </w:p>
    <w:p w14:paraId="7A7802EF" w14:textId="7799C4C0"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3.1</w:t>
      </w:r>
      <w:r w:rsidR="00D96E61">
        <w:rPr>
          <w:rFonts w:ascii="宋体" w:eastAsia="宋体" w:hAnsi="宋体" w:hint="eastAsia"/>
          <w:sz w:val="24"/>
          <w:szCs w:val="24"/>
        </w:rPr>
        <w:t>▲</w:t>
      </w:r>
      <w:r w:rsidRPr="0029207C">
        <w:rPr>
          <w:rFonts w:ascii="宋体" w:eastAsia="宋体" w:hAnsi="宋体" w:hint="eastAsia"/>
          <w:sz w:val="24"/>
          <w:szCs w:val="24"/>
        </w:rPr>
        <w:t>具备一定的智能推理功能，通过输入临床表现、辅助检查、患者体征进行三联征检索后，系统自动聚类可能疾病，并可智能按照排名前十的疾病提示关联</w:t>
      </w:r>
      <w:r w:rsidRPr="0029207C">
        <w:rPr>
          <w:rFonts w:ascii="宋体" w:eastAsia="宋体" w:hAnsi="宋体" w:hint="eastAsia"/>
          <w:sz w:val="24"/>
          <w:szCs w:val="24"/>
        </w:rPr>
        <w:lastRenderedPageBreak/>
        <w:t>性疾病。（此参数要求提供检索功能截图）。</w:t>
      </w:r>
    </w:p>
    <w:p w14:paraId="691573DF"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3.2系统需要具备罕见病、疑难杂症、常见病的不常见特征等的数据基础。</w:t>
      </w:r>
    </w:p>
    <w:p w14:paraId="770B2553" w14:textId="77777777"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3.3提供强大的知识库形成疾病知识支撑，可提供给临床人员进一步的疾病详情查询，包括疾病概述、病因、发病机制、鉴别诊断、临床表现、并发症、治疗、预后、预防等信息，并提供相关药品、相关检查、相关操作等知识，以便提升巩固临床医生的专业技能。</w:t>
      </w:r>
    </w:p>
    <w:p w14:paraId="01A3CFE7" w14:textId="57A5E4F8" w:rsidR="006E4BD8" w:rsidRPr="0029207C" w:rsidRDefault="006E4BD8" w:rsidP="00131B72">
      <w:pPr>
        <w:spacing w:line="360" w:lineRule="auto"/>
        <w:rPr>
          <w:rFonts w:ascii="宋体" w:eastAsia="宋体" w:hAnsi="宋体"/>
          <w:sz w:val="24"/>
          <w:szCs w:val="24"/>
        </w:rPr>
      </w:pPr>
      <w:r w:rsidRPr="0029207C">
        <w:rPr>
          <w:rFonts w:ascii="宋体" w:eastAsia="宋体" w:hAnsi="宋体" w:hint="eastAsia"/>
          <w:sz w:val="24"/>
          <w:szCs w:val="24"/>
        </w:rPr>
        <w:t>4.4</w:t>
      </w:r>
      <w:r w:rsidR="00D96E61">
        <w:rPr>
          <w:rFonts w:ascii="宋体" w:eastAsia="宋体" w:hAnsi="宋体" w:hint="eastAsia"/>
          <w:sz w:val="24"/>
          <w:szCs w:val="24"/>
        </w:rPr>
        <w:t>▲</w:t>
      </w:r>
      <w:r w:rsidRPr="0029207C">
        <w:rPr>
          <w:rFonts w:ascii="宋体" w:eastAsia="宋体" w:hAnsi="宋体" w:hint="eastAsia"/>
          <w:sz w:val="24"/>
          <w:szCs w:val="24"/>
        </w:rPr>
        <w:t>能够提供相关临床相关文献作为诊疗参考。</w:t>
      </w:r>
    </w:p>
    <w:p w14:paraId="046B7004" w14:textId="77777777" w:rsidR="004E5CD5" w:rsidRPr="0029207C" w:rsidRDefault="004E5CD5" w:rsidP="00131B72">
      <w:pPr>
        <w:spacing w:line="360" w:lineRule="auto"/>
        <w:rPr>
          <w:rFonts w:ascii="宋体" w:eastAsia="宋体" w:hAnsi="宋体"/>
          <w:sz w:val="24"/>
          <w:szCs w:val="24"/>
        </w:rPr>
      </w:pPr>
    </w:p>
    <w:p w14:paraId="28B50B8B" w14:textId="18A231B5" w:rsidR="00232F32" w:rsidRPr="00D278F2" w:rsidRDefault="00F131C7" w:rsidP="00D278F2">
      <w:pPr>
        <w:pStyle w:val="3"/>
        <w:numPr>
          <w:ilvl w:val="0"/>
          <w:numId w:val="3"/>
        </w:numPr>
        <w:rPr>
          <w:sz w:val="28"/>
        </w:rPr>
      </w:pPr>
      <w:r>
        <w:rPr>
          <w:sz w:val="28"/>
        </w:rPr>
        <w:t>中华医学会全文医学期刊数据库</w:t>
      </w:r>
    </w:p>
    <w:p w14:paraId="44889A69" w14:textId="4F535E24" w:rsidR="00232F32" w:rsidRPr="0029207C" w:rsidRDefault="00232F32" w:rsidP="00131B72">
      <w:pPr>
        <w:spacing w:line="360" w:lineRule="auto"/>
        <w:rPr>
          <w:rFonts w:ascii="宋体" w:eastAsia="宋体" w:hAnsi="宋体"/>
          <w:sz w:val="24"/>
          <w:szCs w:val="24"/>
        </w:rPr>
      </w:pPr>
      <w:r w:rsidRPr="0029207C">
        <w:rPr>
          <w:rFonts w:ascii="宋体" w:eastAsia="宋体" w:hAnsi="宋体"/>
          <w:sz w:val="24"/>
          <w:szCs w:val="24"/>
        </w:rPr>
        <w:t>1、</w:t>
      </w:r>
      <w:r w:rsidR="00D96E61">
        <w:rPr>
          <w:rFonts w:ascii="宋体" w:eastAsia="宋体" w:hAnsi="宋体" w:hint="eastAsia"/>
          <w:sz w:val="24"/>
          <w:szCs w:val="24"/>
        </w:rPr>
        <w:t>▲</w:t>
      </w:r>
      <w:r w:rsidRPr="0029207C">
        <w:rPr>
          <w:rFonts w:ascii="宋体" w:eastAsia="宋体" w:hAnsi="宋体"/>
          <w:sz w:val="24"/>
          <w:szCs w:val="24"/>
        </w:rPr>
        <w:t>中华医学会期刊全文数据库 ――国内最权威的医学期刊全文数据库</w:t>
      </w:r>
    </w:p>
    <w:p w14:paraId="47989090" w14:textId="77777777" w:rsidR="00232F32" w:rsidRPr="0029207C" w:rsidRDefault="00232F32" w:rsidP="00131B72">
      <w:pPr>
        <w:spacing w:line="360" w:lineRule="auto"/>
        <w:rPr>
          <w:rFonts w:ascii="宋体" w:eastAsia="宋体" w:hAnsi="宋体"/>
          <w:sz w:val="24"/>
          <w:szCs w:val="24"/>
        </w:rPr>
      </w:pPr>
      <w:r w:rsidRPr="0029207C">
        <w:rPr>
          <w:rFonts w:ascii="宋体" w:eastAsia="宋体" w:hAnsi="宋体"/>
          <w:sz w:val="24"/>
          <w:szCs w:val="24"/>
        </w:rPr>
        <w:tab/>
        <w:t>中华医学会期刊全文数据库是国内最权威的医学期刊全文数据库。共收录中华医学会拥有的160种权威医学期。涉及预防医学、临床医学、中国医学、内科学、妇科、儿科、肿瘤学、皮肤病学、精神病学与神经病学、耳鼻喉、口腔、特种医学、外国民族医学和药学等各个细分领域，为用户提供方便快捷的在线全文信息服务，缩短信息传递距离、提高信息利用效率、减少信息获取成本，成为广大医学工作者获取学术信息的的首选。</w:t>
      </w:r>
    </w:p>
    <w:p w14:paraId="42EEC160" w14:textId="1FE49A42" w:rsidR="00232F32" w:rsidRPr="0029207C" w:rsidRDefault="00232F32" w:rsidP="00131B72">
      <w:pPr>
        <w:spacing w:line="360" w:lineRule="auto"/>
        <w:rPr>
          <w:rFonts w:ascii="宋体" w:eastAsia="宋体" w:hAnsi="宋体"/>
          <w:sz w:val="24"/>
          <w:szCs w:val="24"/>
        </w:rPr>
      </w:pPr>
      <w:r w:rsidRPr="0029207C">
        <w:rPr>
          <w:rFonts w:ascii="宋体" w:eastAsia="宋体" w:hAnsi="宋体" w:hint="eastAsia"/>
          <w:sz w:val="24"/>
          <w:szCs w:val="24"/>
        </w:rPr>
        <w:t>2、</w:t>
      </w:r>
      <w:r w:rsidR="00D96E61">
        <w:rPr>
          <w:rFonts w:ascii="宋体" w:eastAsia="宋体" w:hAnsi="宋体" w:hint="eastAsia"/>
          <w:sz w:val="24"/>
          <w:szCs w:val="24"/>
        </w:rPr>
        <w:t>▲</w:t>
      </w:r>
      <w:r w:rsidRPr="0029207C">
        <w:rPr>
          <w:rFonts w:ascii="宋体" w:eastAsia="宋体" w:hAnsi="宋体"/>
          <w:sz w:val="24"/>
          <w:szCs w:val="24"/>
        </w:rPr>
        <w:t>内容权威：中华医学会系列期刊是中文医学期刊出版领域最具代表性的专业刊物，分属不同专业细分领域，覆盖面广，被列为国家学术研究最高水平期刊群，在国内、国际医学学术交流中起着举足轻重的作用。其中中国科技期刊卓越行动计划入选项目期刊：《中华医学杂志（英文版）》、《国际皮肤性病学杂志（英文）》、《贫困所致传染病（英文）》、《中华创伤杂志（英文版）》、《中华儿科杂志》、《中华耳鼻咽喉头颈外科杂》、《中华放射学杂志》、《中华放射医学与防护杂志》、《中华肝脏病杂志》 、《中华护理杂志》、《中华结核和呼吸杂志》、《中华流行病学杂志》、《中华内科杂志》、《中华神经外科杂志（英文）》、《中华心血管病杂志》、《中华血液学杂志》、《中华预防医学杂志》17本。84种期刊入选为《2007年版中国科技期刊引证报告》（核心版）的统计源期刊；19种期刊入选“第六届中国百种杰出学术期刊（医药卫生类共28种）”，12篇论文入选“第一届中国百篇最具影响优秀国内学术论文”。</w:t>
      </w:r>
    </w:p>
    <w:p w14:paraId="5C7D4A47" w14:textId="77777777" w:rsidR="00232F32" w:rsidRPr="0029207C" w:rsidRDefault="00232F32" w:rsidP="00131B72">
      <w:pPr>
        <w:spacing w:line="360" w:lineRule="auto"/>
        <w:rPr>
          <w:rFonts w:ascii="宋体" w:eastAsia="宋体" w:hAnsi="宋体"/>
          <w:sz w:val="24"/>
          <w:szCs w:val="24"/>
        </w:rPr>
      </w:pPr>
      <w:r w:rsidRPr="0029207C">
        <w:rPr>
          <w:rFonts w:ascii="宋体" w:eastAsia="宋体" w:hAnsi="宋体" w:hint="eastAsia"/>
          <w:sz w:val="24"/>
          <w:szCs w:val="24"/>
        </w:rPr>
        <w:lastRenderedPageBreak/>
        <w:t>3、</w:t>
      </w:r>
      <w:r w:rsidRPr="0029207C">
        <w:rPr>
          <w:rFonts w:ascii="宋体" w:eastAsia="宋体" w:hAnsi="宋体"/>
          <w:sz w:val="24"/>
          <w:szCs w:val="24"/>
        </w:rPr>
        <w:t xml:space="preserve">多种检索，满足不同需求：一框式检索类似搜索引擎，符合基本信息素质用户的使用习惯，满足其便利性；中国医科院信息所提供支持，实现了文献主题词/副主题词组配标引及检索功能，极大提高文献查全率及查准率，满足专业用户需求；提供定篇检索功能，快速查询确定某篇文献。 </w:t>
      </w:r>
    </w:p>
    <w:p w14:paraId="4D976DCB" w14:textId="77777777" w:rsidR="00232F32" w:rsidRPr="0029207C" w:rsidRDefault="00232F32" w:rsidP="00131B72">
      <w:pPr>
        <w:spacing w:line="360" w:lineRule="auto"/>
        <w:rPr>
          <w:rFonts w:ascii="宋体" w:eastAsia="宋体" w:hAnsi="宋体"/>
          <w:sz w:val="24"/>
          <w:szCs w:val="24"/>
        </w:rPr>
      </w:pPr>
      <w:r w:rsidRPr="0029207C">
        <w:rPr>
          <w:rFonts w:ascii="宋体" w:eastAsia="宋体" w:hAnsi="宋体" w:hint="eastAsia"/>
          <w:sz w:val="24"/>
          <w:szCs w:val="24"/>
        </w:rPr>
        <w:t>4、</w:t>
      </w:r>
      <w:r w:rsidRPr="0029207C">
        <w:rPr>
          <w:rFonts w:ascii="宋体" w:eastAsia="宋体" w:hAnsi="宋体"/>
          <w:sz w:val="24"/>
          <w:szCs w:val="24"/>
        </w:rPr>
        <w:t>身临其境，感受期刊、文献导航的魅力：六大分类导航的设置满足了不同类型用户的特定需求，实现了网络信息的有效组织，六大导航体系构成了一个立体的网状期刊查找指引通路。利用不同分类体系从不同角度揭示信息之间的关系，从不同角度为用户提供期刊系统的“知识地图”，用户沿着这张“知识地图”可以俯瞰，也可以逐级浏览，直至定位到所需的信息资源。文献的三大分类导航更为实用，满足用户实际浏览文献的习惯和需求。</w:t>
      </w:r>
    </w:p>
    <w:p w14:paraId="455BE315" w14:textId="77777777" w:rsidR="00232F32" w:rsidRPr="0029207C" w:rsidRDefault="00232F32" w:rsidP="00131B72">
      <w:pPr>
        <w:spacing w:line="360" w:lineRule="auto"/>
        <w:rPr>
          <w:rFonts w:ascii="宋体" w:eastAsia="宋体" w:hAnsi="宋体"/>
          <w:sz w:val="24"/>
          <w:szCs w:val="24"/>
        </w:rPr>
      </w:pPr>
      <w:r w:rsidRPr="0029207C">
        <w:rPr>
          <w:rFonts w:ascii="宋体" w:eastAsia="宋体" w:hAnsi="宋体" w:hint="eastAsia"/>
          <w:sz w:val="24"/>
          <w:szCs w:val="24"/>
        </w:rPr>
        <w:t>5、</w:t>
      </w:r>
      <w:r w:rsidRPr="0029207C">
        <w:rPr>
          <w:rFonts w:ascii="宋体" w:eastAsia="宋体" w:hAnsi="宋体"/>
          <w:sz w:val="24"/>
          <w:szCs w:val="24"/>
        </w:rPr>
        <w:t>个性服务，体现系统建设人文关怀：我的定题检索、期刊RSS订阅功能，可以让用户很好地感受到关怀，方便地满足用户信息获取的需要。</w:t>
      </w:r>
    </w:p>
    <w:p w14:paraId="71236A67" w14:textId="77777777" w:rsidR="00232F32" w:rsidRPr="0029207C" w:rsidRDefault="00232F32" w:rsidP="00131B72">
      <w:pPr>
        <w:spacing w:line="360" w:lineRule="auto"/>
        <w:rPr>
          <w:rFonts w:ascii="宋体" w:eastAsia="宋体" w:hAnsi="宋体"/>
          <w:sz w:val="24"/>
          <w:szCs w:val="24"/>
        </w:rPr>
      </w:pPr>
      <w:r w:rsidRPr="0029207C">
        <w:rPr>
          <w:rFonts w:ascii="宋体" w:eastAsia="宋体" w:hAnsi="宋体" w:hint="eastAsia"/>
          <w:sz w:val="24"/>
          <w:szCs w:val="24"/>
        </w:rPr>
        <w:t>6、</w:t>
      </w:r>
      <w:r w:rsidRPr="0029207C">
        <w:rPr>
          <w:rFonts w:ascii="宋体" w:eastAsia="宋体" w:hAnsi="宋体"/>
          <w:sz w:val="24"/>
          <w:szCs w:val="24"/>
        </w:rPr>
        <w:t>汇集期刊相关信息，为用户投稿提供帮助：系统收集了各期刊编辑部的投稿相关信息，方便易得，为用户撰写及发表论文提供切实帮助。</w:t>
      </w:r>
    </w:p>
    <w:p w14:paraId="76B5E016" w14:textId="77777777" w:rsidR="00232F32" w:rsidRPr="0029207C" w:rsidRDefault="00232F32" w:rsidP="00131B72">
      <w:pPr>
        <w:spacing w:line="360" w:lineRule="auto"/>
        <w:rPr>
          <w:rFonts w:ascii="宋体" w:eastAsia="宋体" w:hAnsi="宋体"/>
          <w:sz w:val="24"/>
          <w:szCs w:val="24"/>
        </w:rPr>
      </w:pPr>
      <w:r w:rsidRPr="0029207C">
        <w:rPr>
          <w:rFonts w:ascii="宋体" w:eastAsia="宋体" w:hAnsi="宋体" w:hint="eastAsia"/>
          <w:sz w:val="24"/>
          <w:szCs w:val="24"/>
        </w:rPr>
        <w:t>7、</w:t>
      </w:r>
      <w:r w:rsidRPr="0029207C">
        <w:rPr>
          <w:rFonts w:ascii="宋体" w:eastAsia="宋体" w:hAnsi="宋体"/>
          <w:sz w:val="24"/>
          <w:szCs w:val="24"/>
        </w:rPr>
        <w:t>界面友好，轻松实现知识充电</w:t>
      </w:r>
    </w:p>
    <w:p w14:paraId="3A6290C5" w14:textId="77777777" w:rsidR="00232F32" w:rsidRPr="0029207C" w:rsidRDefault="00232F32" w:rsidP="00131B72">
      <w:pPr>
        <w:spacing w:line="360" w:lineRule="auto"/>
        <w:rPr>
          <w:rFonts w:ascii="宋体" w:eastAsia="宋体" w:hAnsi="宋体"/>
          <w:sz w:val="24"/>
          <w:szCs w:val="24"/>
        </w:rPr>
      </w:pPr>
      <w:r w:rsidRPr="0029207C">
        <w:rPr>
          <w:rFonts w:ascii="宋体" w:eastAsia="宋体" w:hAnsi="宋体" w:hint="eastAsia"/>
          <w:sz w:val="24"/>
          <w:szCs w:val="24"/>
        </w:rPr>
        <w:t>7.1</w:t>
      </w:r>
      <w:r w:rsidRPr="0029207C">
        <w:rPr>
          <w:rFonts w:ascii="宋体" w:eastAsia="宋体" w:hAnsi="宋体"/>
          <w:sz w:val="24"/>
          <w:szCs w:val="24"/>
        </w:rPr>
        <w:t>真正实现人机交互的友好界面，清晰明朗的检索方式使得广大用户很方便的查询所需资源；淡雅的背景颜色及人性化的操作界面使得用户在检索过程中感受到清爽愉悦的气氛，在这种氛围之下可以更充分地吸收知识，享受轻松愉悦的信息获取过程。</w:t>
      </w:r>
    </w:p>
    <w:p w14:paraId="7258BB3E" w14:textId="77777777" w:rsidR="00232F32" w:rsidRPr="0029207C" w:rsidRDefault="00232F32" w:rsidP="00131B72">
      <w:pPr>
        <w:spacing w:line="360" w:lineRule="auto"/>
        <w:rPr>
          <w:rFonts w:ascii="宋体" w:eastAsia="宋体" w:hAnsi="宋体"/>
          <w:sz w:val="24"/>
          <w:szCs w:val="24"/>
        </w:rPr>
      </w:pPr>
      <w:r w:rsidRPr="0029207C">
        <w:rPr>
          <w:rFonts w:ascii="宋体" w:eastAsia="宋体" w:hAnsi="宋体" w:hint="eastAsia"/>
          <w:sz w:val="24"/>
          <w:szCs w:val="24"/>
        </w:rPr>
        <w:t>7.</w:t>
      </w:r>
      <w:r w:rsidRPr="0029207C">
        <w:rPr>
          <w:rFonts w:ascii="宋体" w:eastAsia="宋体" w:hAnsi="宋体"/>
          <w:sz w:val="24"/>
          <w:szCs w:val="24"/>
        </w:rPr>
        <w:t>2</w:t>
      </w:r>
      <w:r w:rsidRPr="0029207C">
        <w:rPr>
          <w:rFonts w:ascii="宋体" w:eastAsia="宋体" w:hAnsi="宋体" w:hint="eastAsia"/>
          <w:sz w:val="24"/>
          <w:szCs w:val="24"/>
        </w:rPr>
        <w:t xml:space="preserve"> </w:t>
      </w:r>
      <w:r w:rsidRPr="0029207C">
        <w:rPr>
          <w:rFonts w:ascii="宋体" w:eastAsia="宋体" w:hAnsi="宋体"/>
          <w:sz w:val="24"/>
          <w:szCs w:val="24"/>
        </w:rPr>
        <w:t>收录年限：自创刊年至今出版的期刊，部分期刊回溯至创刊。</w:t>
      </w:r>
    </w:p>
    <w:p w14:paraId="0D036842" w14:textId="5942D9B7" w:rsidR="006E4BD8" w:rsidRPr="0029207C" w:rsidRDefault="00232F32" w:rsidP="00131B72">
      <w:pPr>
        <w:spacing w:line="360" w:lineRule="auto"/>
        <w:rPr>
          <w:rFonts w:ascii="宋体" w:eastAsia="宋体" w:hAnsi="宋体"/>
          <w:sz w:val="24"/>
          <w:szCs w:val="24"/>
        </w:rPr>
      </w:pPr>
      <w:r w:rsidRPr="0029207C">
        <w:rPr>
          <w:rFonts w:ascii="宋体" w:eastAsia="宋体" w:hAnsi="宋体" w:hint="eastAsia"/>
          <w:sz w:val="24"/>
          <w:szCs w:val="24"/>
        </w:rPr>
        <w:t xml:space="preserve">7.3 </w:t>
      </w:r>
      <w:r w:rsidRPr="0029207C">
        <w:rPr>
          <w:rFonts w:ascii="宋体" w:eastAsia="宋体" w:hAnsi="宋体"/>
          <w:sz w:val="24"/>
          <w:szCs w:val="24"/>
        </w:rPr>
        <w:t>更新周期：每月按出版周期更新。</w:t>
      </w:r>
    </w:p>
    <w:sectPr w:rsidR="006E4BD8" w:rsidRPr="0029207C" w:rsidSect="004E5CD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2FFDD" w14:textId="77777777" w:rsidR="007C760D" w:rsidRDefault="007C760D" w:rsidP="00232690">
      <w:r>
        <w:separator/>
      </w:r>
    </w:p>
  </w:endnote>
  <w:endnote w:type="continuationSeparator" w:id="0">
    <w:p w14:paraId="4C4916C6" w14:textId="77777777" w:rsidR="007C760D" w:rsidRDefault="007C760D" w:rsidP="0023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altName w:val="Bahnschrift Light"/>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altName w:val="Palatino Linotype"/>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3737"/>
      <w:docPartObj>
        <w:docPartGallery w:val="Page Numbers (Bottom of Page)"/>
        <w:docPartUnique/>
      </w:docPartObj>
    </w:sdtPr>
    <w:sdtEndPr/>
    <w:sdtContent>
      <w:sdt>
        <w:sdtPr>
          <w:id w:val="1728636285"/>
          <w:docPartObj>
            <w:docPartGallery w:val="Page Numbers (Top of Page)"/>
            <w:docPartUnique/>
          </w:docPartObj>
        </w:sdtPr>
        <w:sdtEndPr/>
        <w:sdtContent>
          <w:p w14:paraId="724A9B0B" w14:textId="6426B0A7" w:rsidR="002D0380" w:rsidRDefault="002D0380">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409B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409B1">
              <w:rPr>
                <w:b/>
                <w:bCs/>
                <w:noProof/>
              </w:rPr>
              <w:t>6</w:t>
            </w:r>
            <w:r>
              <w:rPr>
                <w:b/>
                <w:bCs/>
                <w:sz w:val="24"/>
                <w:szCs w:val="24"/>
              </w:rPr>
              <w:fldChar w:fldCharType="end"/>
            </w:r>
          </w:p>
        </w:sdtContent>
      </w:sdt>
    </w:sdtContent>
  </w:sdt>
  <w:p w14:paraId="2B79934C" w14:textId="77777777" w:rsidR="002D0380" w:rsidRDefault="002D038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3839" w14:textId="77777777" w:rsidR="007C760D" w:rsidRDefault="007C760D" w:rsidP="00232690">
      <w:r>
        <w:separator/>
      </w:r>
    </w:p>
  </w:footnote>
  <w:footnote w:type="continuationSeparator" w:id="0">
    <w:p w14:paraId="495D7AEF" w14:textId="77777777" w:rsidR="007C760D" w:rsidRDefault="007C760D" w:rsidP="00232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4A34"/>
    <w:multiLevelType w:val="hybridMultilevel"/>
    <w:tmpl w:val="C360E6D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498E230A"/>
    <w:multiLevelType w:val="hybridMultilevel"/>
    <w:tmpl w:val="C9C4E0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7831F6"/>
    <w:multiLevelType w:val="hybridMultilevel"/>
    <w:tmpl w:val="7CCAC774"/>
    <w:lvl w:ilvl="0" w:tplc="75ACDF34">
      <w:start w:val="1"/>
      <w:numFmt w:val="japaneseCounting"/>
      <w:lvlText w:val="%1、"/>
      <w:lvlJc w:val="left"/>
      <w:pPr>
        <w:ind w:left="720" w:hanging="720"/>
      </w:pPr>
      <w:rPr>
        <w:rFonts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4BD8"/>
    <w:rsid w:val="00071799"/>
    <w:rsid w:val="000C0A3E"/>
    <w:rsid w:val="001300E1"/>
    <w:rsid w:val="00131B72"/>
    <w:rsid w:val="001E7180"/>
    <w:rsid w:val="00232690"/>
    <w:rsid w:val="00232F32"/>
    <w:rsid w:val="0029207C"/>
    <w:rsid w:val="002D0380"/>
    <w:rsid w:val="002F2D70"/>
    <w:rsid w:val="00347E89"/>
    <w:rsid w:val="00480361"/>
    <w:rsid w:val="004C5C9F"/>
    <w:rsid w:val="004C6204"/>
    <w:rsid w:val="004E5CD5"/>
    <w:rsid w:val="004F21B2"/>
    <w:rsid w:val="005826A1"/>
    <w:rsid w:val="005A139E"/>
    <w:rsid w:val="005A35D3"/>
    <w:rsid w:val="00633FCB"/>
    <w:rsid w:val="006C74D7"/>
    <w:rsid w:val="006E4BD8"/>
    <w:rsid w:val="007A5E1D"/>
    <w:rsid w:val="007C760D"/>
    <w:rsid w:val="00811F7A"/>
    <w:rsid w:val="00924A06"/>
    <w:rsid w:val="009D254F"/>
    <w:rsid w:val="00A010A8"/>
    <w:rsid w:val="00A1548D"/>
    <w:rsid w:val="00A24519"/>
    <w:rsid w:val="00AD1B08"/>
    <w:rsid w:val="00B7650A"/>
    <w:rsid w:val="00B973E0"/>
    <w:rsid w:val="00BB5B95"/>
    <w:rsid w:val="00BD7BCD"/>
    <w:rsid w:val="00C4779A"/>
    <w:rsid w:val="00C52CA9"/>
    <w:rsid w:val="00C54753"/>
    <w:rsid w:val="00C572EE"/>
    <w:rsid w:val="00D278F2"/>
    <w:rsid w:val="00D83AEE"/>
    <w:rsid w:val="00D96E61"/>
    <w:rsid w:val="00DC028E"/>
    <w:rsid w:val="00DF447A"/>
    <w:rsid w:val="00E409B1"/>
    <w:rsid w:val="00ED41C8"/>
    <w:rsid w:val="00F01EB1"/>
    <w:rsid w:val="00F131C7"/>
    <w:rsid w:val="00FD69F2"/>
    <w:rsid w:val="00FF0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462CA"/>
  <w15:docId w15:val="{FBDA4F27-D9F6-48EE-91DC-1AF3BE72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D5"/>
    <w:pPr>
      <w:widowControl w:val="0"/>
      <w:jc w:val="both"/>
    </w:pPr>
  </w:style>
  <w:style w:type="paragraph" w:styleId="1">
    <w:name w:val="heading 1"/>
    <w:basedOn w:val="a"/>
    <w:next w:val="a"/>
    <w:link w:val="10"/>
    <w:uiPriority w:val="9"/>
    <w:qFormat/>
    <w:rsid w:val="0023269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3269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3269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753"/>
    <w:pPr>
      <w:ind w:firstLineChars="200" w:firstLine="420"/>
    </w:pPr>
  </w:style>
  <w:style w:type="character" w:styleId="a4">
    <w:name w:val="annotation reference"/>
    <w:basedOn w:val="a0"/>
    <w:uiPriority w:val="99"/>
    <w:semiHidden/>
    <w:unhideWhenUsed/>
    <w:rsid w:val="004C5C9F"/>
    <w:rPr>
      <w:sz w:val="21"/>
      <w:szCs w:val="21"/>
    </w:rPr>
  </w:style>
  <w:style w:type="paragraph" w:styleId="a5">
    <w:name w:val="annotation text"/>
    <w:basedOn w:val="a"/>
    <w:link w:val="a6"/>
    <w:uiPriority w:val="99"/>
    <w:semiHidden/>
    <w:unhideWhenUsed/>
    <w:rsid w:val="004C5C9F"/>
    <w:pPr>
      <w:jc w:val="left"/>
    </w:pPr>
  </w:style>
  <w:style w:type="character" w:customStyle="1" w:styleId="a6">
    <w:name w:val="批注文字 字符"/>
    <w:basedOn w:val="a0"/>
    <w:link w:val="a5"/>
    <w:uiPriority w:val="99"/>
    <w:semiHidden/>
    <w:rsid w:val="004C5C9F"/>
  </w:style>
  <w:style w:type="paragraph" w:styleId="a7">
    <w:name w:val="annotation subject"/>
    <w:basedOn w:val="a5"/>
    <w:next w:val="a5"/>
    <w:link w:val="a8"/>
    <w:uiPriority w:val="99"/>
    <w:semiHidden/>
    <w:unhideWhenUsed/>
    <w:rsid w:val="004C5C9F"/>
    <w:rPr>
      <w:b/>
      <w:bCs/>
    </w:rPr>
  </w:style>
  <w:style w:type="character" w:customStyle="1" w:styleId="a8">
    <w:name w:val="批注主题 字符"/>
    <w:basedOn w:val="a6"/>
    <w:link w:val="a7"/>
    <w:uiPriority w:val="99"/>
    <w:semiHidden/>
    <w:rsid w:val="004C5C9F"/>
    <w:rPr>
      <w:b/>
      <w:bCs/>
    </w:rPr>
  </w:style>
  <w:style w:type="paragraph" w:styleId="a9">
    <w:name w:val="Balloon Text"/>
    <w:basedOn w:val="a"/>
    <w:link w:val="aa"/>
    <w:uiPriority w:val="99"/>
    <w:semiHidden/>
    <w:unhideWhenUsed/>
    <w:rsid w:val="004C5C9F"/>
    <w:rPr>
      <w:sz w:val="18"/>
      <w:szCs w:val="18"/>
    </w:rPr>
  </w:style>
  <w:style w:type="character" w:customStyle="1" w:styleId="aa">
    <w:name w:val="批注框文本 字符"/>
    <w:basedOn w:val="a0"/>
    <w:link w:val="a9"/>
    <w:uiPriority w:val="99"/>
    <w:semiHidden/>
    <w:rsid w:val="004C5C9F"/>
    <w:rPr>
      <w:sz w:val="18"/>
      <w:szCs w:val="18"/>
    </w:rPr>
  </w:style>
  <w:style w:type="paragraph" w:styleId="ab">
    <w:name w:val="header"/>
    <w:basedOn w:val="a"/>
    <w:link w:val="ac"/>
    <w:uiPriority w:val="99"/>
    <w:unhideWhenUsed/>
    <w:rsid w:val="0023269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232690"/>
    <w:rPr>
      <w:sz w:val="18"/>
      <w:szCs w:val="18"/>
    </w:rPr>
  </w:style>
  <w:style w:type="paragraph" w:styleId="ad">
    <w:name w:val="footer"/>
    <w:basedOn w:val="a"/>
    <w:link w:val="ae"/>
    <w:uiPriority w:val="99"/>
    <w:unhideWhenUsed/>
    <w:rsid w:val="00232690"/>
    <w:pPr>
      <w:tabs>
        <w:tab w:val="center" w:pos="4153"/>
        <w:tab w:val="right" w:pos="8306"/>
      </w:tabs>
      <w:snapToGrid w:val="0"/>
      <w:jc w:val="left"/>
    </w:pPr>
    <w:rPr>
      <w:sz w:val="18"/>
      <w:szCs w:val="18"/>
    </w:rPr>
  </w:style>
  <w:style w:type="character" w:customStyle="1" w:styleId="ae">
    <w:name w:val="页脚 字符"/>
    <w:basedOn w:val="a0"/>
    <w:link w:val="ad"/>
    <w:uiPriority w:val="99"/>
    <w:rsid w:val="00232690"/>
    <w:rPr>
      <w:sz w:val="18"/>
      <w:szCs w:val="18"/>
    </w:rPr>
  </w:style>
  <w:style w:type="character" w:customStyle="1" w:styleId="10">
    <w:name w:val="标题 1 字符"/>
    <w:basedOn w:val="a0"/>
    <w:link w:val="1"/>
    <w:uiPriority w:val="9"/>
    <w:rsid w:val="00232690"/>
    <w:rPr>
      <w:b/>
      <w:bCs/>
      <w:kern w:val="44"/>
      <w:sz w:val="44"/>
      <w:szCs w:val="44"/>
    </w:rPr>
  </w:style>
  <w:style w:type="character" w:customStyle="1" w:styleId="20">
    <w:name w:val="标题 2 字符"/>
    <w:basedOn w:val="a0"/>
    <w:link w:val="2"/>
    <w:uiPriority w:val="9"/>
    <w:rsid w:val="0023269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232690"/>
    <w:rPr>
      <w:b/>
      <w:bCs/>
      <w:sz w:val="32"/>
      <w:szCs w:val="32"/>
    </w:rPr>
  </w:style>
  <w:style w:type="paragraph" w:customStyle="1" w:styleId="11">
    <w:name w:val="无间隔1"/>
    <w:link w:val="Char"/>
    <w:qFormat/>
    <w:rsid w:val="00FF033B"/>
    <w:pPr>
      <w:widowControl w:val="0"/>
      <w:spacing w:line="360" w:lineRule="auto"/>
      <w:jc w:val="both"/>
    </w:pPr>
    <w:rPr>
      <w:rFonts w:ascii="Times New Roman" w:eastAsia="宋体" w:hAnsi="Times New Roman" w:cs="Times New Roman"/>
      <w:kern w:val="0"/>
      <w:sz w:val="24"/>
      <w:szCs w:val="20"/>
    </w:rPr>
  </w:style>
  <w:style w:type="character" w:customStyle="1" w:styleId="Char">
    <w:name w:val="无间隔 Char"/>
    <w:link w:val="11"/>
    <w:qFormat/>
    <w:rsid w:val="00FF033B"/>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ALLK</dc:creator>
  <cp:lastModifiedBy>XX</cp:lastModifiedBy>
  <cp:revision>46</cp:revision>
  <dcterms:created xsi:type="dcterms:W3CDTF">2022-03-22T04:57:00Z</dcterms:created>
  <dcterms:modified xsi:type="dcterms:W3CDTF">2022-08-01T00:53:00Z</dcterms:modified>
</cp:coreProperties>
</file>