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A77CC" w14:textId="77777777" w:rsidR="00E91DB7" w:rsidRPr="009875AA" w:rsidRDefault="00757997">
      <w:pPr>
        <w:pStyle w:val="2"/>
        <w:spacing w:line="276" w:lineRule="auto"/>
        <w:jc w:val="center"/>
        <w:rPr>
          <w:rFonts w:ascii="宋体" w:eastAsia="宋体" w:hAnsi="宋体" w:cs="微软雅黑"/>
          <w:szCs w:val="24"/>
        </w:rPr>
      </w:pPr>
      <w:r w:rsidRPr="000B050A">
        <w:rPr>
          <w:rFonts w:ascii="宋体" w:eastAsia="宋体" w:hAnsi="宋体" w:cs="微软雅黑" w:hint="eastAsia"/>
          <w:szCs w:val="24"/>
        </w:rPr>
        <w:t>采购智慧家庭病房生命体征存储和分析GPU</w:t>
      </w:r>
      <w:r w:rsidRPr="009875AA">
        <w:rPr>
          <w:rFonts w:ascii="宋体" w:eastAsia="宋体" w:hAnsi="宋体" w:cs="微软雅黑" w:hint="eastAsia"/>
          <w:szCs w:val="24"/>
        </w:rPr>
        <w:t>服务器</w:t>
      </w:r>
    </w:p>
    <w:p w14:paraId="04A296B1" w14:textId="77777777" w:rsidR="00E91DB7" w:rsidRPr="009875AA" w:rsidRDefault="00757997">
      <w:pPr>
        <w:pStyle w:val="2"/>
        <w:numPr>
          <w:ilvl w:val="0"/>
          <w:numId w:val="1"/>
        </w:numPr>
        <w:spacing w:line="276" w:lineRule="auto"/>
        <w:rPr>
          <w:rFonts w:ascii="宋体" w:eastAsia="宋体" w:hAnsi="宋体" w:cs="宋体"/>
          <w:sz w:val="24"/>
          <w:szCs w:val="24"/>
        </w:rPr>
      </w:pPr>
      <w:r w:rsidRPr="009875AA">
        <w:rPr>
          <w:rFonts w:ascii="宋体" w:eastAsia="宋体" w:hAnsi="宋体" w:cs="宋体" w:hint="eastAsia"/>
          <w:sz w:val="24"/>
          <w:szCs w:val="24"/>
        </w:rPr>
        <w:t>项目概况</w:t>
      </w:r>
    </w:p>
    <w:p w14:paraId="6C7BC603" w14:textId="57124570" w:rsidR="00E91DB7" w:rsidRPr="000B050A" w:rsidRDefault="00757997">
      <w:pPr>
        <w:widowControl/>
        <w:spacing w:line="276" w:lineRule="auto"/>
        <w:ind w:firstLineChars="100" w:firstLine="240"/>
        <w:jc w:val="left"/>
        <w:rPr>
          <w:rFonts w:ascii="宋体" w:eastAsia="宋体" w:hAnsi="宋体" w:cs="宋体"/>
          <w:sz w:val="24"/>
          <w:szCs w:val="24"/>
        </w:rPr>
      </w:pPr>
      <w:r w:rsidRPr="009875AA">
        <w:rPr>
          <w:rFonts w:ascii="宋体" w:eastAsia="宋体" w:hAnsi="宋体" w:cs="宋体" w:hint="eastAsia"/>
          <w:kern w:val="0"/>
          <w:sz w:val="24"/>
          <w:szCs w:val="24"/>
          <w:lang w:bidi="ar"/>
        </w:rPr>
        <w:t xml:space="preserve"> 按照“养老助残友好智慧健康宜居环境体系构建与应用示范”项目任务要求，开展基于5G、互联网、人工智能等</w:t>
      </w:r>
      <w:bookmarkStart w:id="0" w:name="_GoBack"/>
      <w:bookmarkEnd w:id="0"/>
      <w:r w:rsidRPr="009875AA">
        <w:rPr>
          <w:rFonts w:ascii="宋体" w:eastAsia="宋体" w:hAnsi="宋体" w:cs="宋体" w:hint="eastAsia"/>
          <w:kern w:val="0"/>
          <w:sz w:val="24"/>
          <w:szCs w:val="24"/>
          <w:lang w:bidi="ar"/>
        </w:rPr>
        <w:t>新技术背景下的“养老、康复、护理、医疗”一体化的养老助残服务体系构建研究，需要采购生命体征信息监测数据存储和分析所需的GPU服务器一台。</w:t>
      </w:r>
    </w:p>
    <w:p w14:paraId="63684664" w14:textId="77777777" w:rsidR="00E91DB7" w:rsidRPr="009875AA" w:rsidRDefault="00757997">
      <w:pPr>
        <w:pStyle w:val="2"/>
        <w:numPr>
          <w:ilvl w:val="0"/>
          <w:numId w:val="1"/>
        </w:numPr>
        <w:spacing w:line="276" w:lineRule="auto"/>
        <w:rPr>
          <w:rFonts w:ascii="宋体" w:eastAsia="宋体" w:hAnsi="宋体" w:cs="宋体"/>
          <w:sz w:val="24"/>
          <w:szCs w:val="24"/>
        </w:rPr>
      </w:pPr>
      <w:bookmarkStart w:id="1" w:name="_Hlk135761369"/>
      <w:r w:rsidRPr="009875AA">
        <w:rPr>
          <w:rFonts w:ascii="宋体" w:eastAsia="宋体" w:hAnsi="宋体" w:cs="宋体" w:hint="eastAsia"/>
          <w:sz w:val="24"/>
          <w:szCs w:val="24"/>
        </w:rPr>
        <w:t>需求清单</w:t>
      </w:r>
    </w:p>
    <w:tbl>
      <w:tblPr>
        <w:tblW w:w="8642" w:type="dxa"/>
        <w:tblLook w:val="04A0" w:firstRow="1" w:lastRow="0" w:firstColumn="1" w:lastColumn="0" w:noHBand="0" w:noVBand="1"/>
      </w:tblPr>
      <w:tblGrid>
        <w:gridCol w:w="846"/>
        <w:gridCol w:w="5386"/>
        <w:gridCol w:w="993"/>
        <w:gridCol w:w="1417"/>
      </w:tblGrid>
      <w:tr w:rsidR="000B050A" w:rsidRPr="009875AA" w14:paraId="31034807" w14:textId="77777777" w:rsidTr="003E78D1">
        <w:trPr>
          <w:trHeight w:val="56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32615A59" w14:textId="77777777" w:rsidR="00E91DB7" w:rsidRPr="009875AA" w:rsidRDefault="00757997">
            <w:pPr>
              <w:spacing w:line="360" w:lineRule="auto"/>
              <w:rPr>
                <w:rFonts w:ascii="宋体" w:eastAsia="宋体" w:hAnsi="宋体" w:cs="宋体"/>
                <w:b/>
                <w:bCs/>
                <w:sz w:val="24"/>
                <w:szCs w:val="24"/>
              </w:rPr>
            </w:pPr>
            <w:r w:rsidRPr="009875AA">
              <w:rPr>
                <w:rFonts w:ascii="宋体" w:eastAsia="宋体" w:hAnsi="宋体" w:cs="宋体" w:hint="eastAsia"/>
                <w:b/>
                <w:bCs/>
                <w:sz w:val="24"/>
                <w:szCs w:val="24"/>
              </w:rPr>
              <w:t>序号</w:t>
            </w:r>
          </w:p>
        </w:tc>
        <w:tc>
          <w:tcPr>
            <w:tcW w:w="5386" w:type="dxa"/>
            <w:tcBorders>
              <w:top w:val="single" w:sz="4" w:space="0" w:color="auto"/>
              <w:left w:val="nil"/>
              <w:bottom w:val="single" w:sz="4" w:space="0" w:color="auto"/>
              <w:right w:val="single" w:sz="4" w:space="0" w:color="000000"/>
            </w:tcBorders>
            <w:shd w:val="clear" w:color="000000" w:fill="FFFFFF"/>
            <w:vAlign w:val="center"/>
          </w:tcPr>
          <w:p w14:paraId="5BD3D103" w14:textId="77777777" w:rsidR="00E91DB7" w:rsidRPr="009875AA" w:rsidRDefault="00757997" w:rsidP="008354B5">
            <w:pPr>
              <w:spacing w:line="360" w:lineRule="auto"/>
              <w:jc w:val="center"/>
              <w:rPr>
                <w:rFonts w:ascii="宋体" w:eastAsia="宋体" w:hAnsi="宋体" w:cs="宋体"/>
                <w:b/>
                <w:bCs/>
                <w:sz w:val="24"/>
                <w:szCs w:val="24"/>
              </w:rPr>
            </w:pPr>
            <w:r w:rsidRPr="009875AA">
              <w:rPr>
                <w:rFonts w:ascii="宋体" w:eastAsia="宋体" w:hAnsi="宋体" w:cs="宋体" w:hint="eastAsia"/>
                <w:b/>
                <w:bCs/>
                <w:sz w:val="24"/>
                <w:szCs w:val="24"/>
              </w:rPr>
              <w:t>内容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8064145" w14:textId="77777777" w:rsidR="00E91DB7" w:rsidRPr="009875AA" w:rsidRDefault="00757997">
            <w:pPr>
              <w:spacing w:line="360" w:lineRule="auto"/>
              <w:rPr>
                <w:rFonts w:ascii="宋体" w:eastAsia="宋体" w:hAnsi="宋体" w:cs="宋体"/>
                <w:b/>
                <w:bCs/>
                <w:sz w:val="24"/>
                <w:szCs w:val="24"/>
              </w:rPr>
            </w:pPr>
            <w:r w:rsidRPr="009875AA">
              <w:rPr>
                <w:rFonts w:ascii="宋体" w:eastAsia="宋体" w:hAnsi="宋体" w:cs="宋体" w:hint="eastAsia"/>
                <w:b/>
                <w:bCs/>
                <w:sz w:val="24"/>
                <w:szCs w:val="24"/>
              </w:rPr>
              <w:t>数量</w:t>
            </w:r>
          </w:p>
        </w:tc>
        <w:tc>
          <w:tcPr>
            <w:tcW w:w="1417" w:type="dxa"/>
            <w:tcBorders>
              <w:top w:val="single" w:sz="4" w:space="0" w:color="auto"/>
              <w:left w:val="nil"/>
              <w:bottom w:val="single" w:sz="4" w:space="0" w:color="auto"/>
              <w:right w:val="single" w:sz="4" w:space="0" w:color="auto"/>
            </w:tcBorders>
            <w:shd w:val="clear" w:color="000000" w:fill="FFFFFF"/>
          </w:tcPr>
          <w:p w14:paraId="5302E475" w14:textId="77777777" w:rsidR="00E91DB7" w:rsidRPr="009875AA" w:rsidRDefault="00757997">
            <w:pPr>
              <w:spacing w:line="360" w:lineRule="auto"/>
              <w:rPr>
                <w:rFonts w:ascii="宋体" w:eastAsia="宋体" w:hAnsi="宋体" w:cs="宋体"/>
                <w:b/>
                <w:bCs/>
                <w:sz w:val="24"/>
                <w:szCs w:val="24"/>
              </w:rPr>
            </w:pPr>
            <w:r w:rsidRPr="009875AA">
              <w:rPr>
                <w:rFonts w:ascii="宋体" w:eastAsia="宋体" w:hAnsi="宋体" w:cs="宋体" w:hint="eastAsia"/>
                <w:b/>
                <w:bCs/>
                <w:sz w:val="24"/>
                <w:szCs w:val="24"/>
              </w:rPr>
              <w:t>维保期</w:t>
            </w:r>
          </w:p>
        </w:tc>
      </w:tr>
      <w:tr w:rsidR="000B050A" w:rsidRPr="009875AA" w14:paraId="1F539265" w14:textId="77777777" w:rsidTr="003E78D1">
        <w:trPr>
          <w:trHeight w:val="5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65EF011E" w14:textId="77777777" w:rsidR="00E91DB7" w:rsidRPr="009875AA" w:rsidRDefault="00757997">
            <w:pPr>
              <w:spacing w:line="360" w:lineRule="auto"/>
              <w:rPr>
                <w:rFonts w:ascii="宋体" w:eastAsia="宋体" w:hAnsi="宋体" w:cs="宋体"/>
                <w:sz w:val="24"/>
                <w:szCs w:val="24"/>
              </w:rPr>
            </w:pPr>
            <w:r w:rsidRPr="009875AA">
              <w:rPr>
                <w:rFonts w:ascii="宋体" w:eastAsia="宋体" w:hAnsi="宋体" w:cs="宋体" w:hint="eastAsia"/>
                <w:sz w:val="24"/>
                <w:szCs w:val="24"/>
              </w:rPr>
              <w:t>1</w:t>
            </w:r>
          </w:p>
        </w:tc>
        <w:tc>
          <w:tcPr>
            <w:tcW w:w="5386" w:type="dxa"/>
            <w:tcBorders>
              <w:top w:val="single" w:sz="4" w:space="0" w:color="auto"/>
              <w:left w:val="nil"/>
              <w:bottom w:val="single" w:sz="4" w:space="0" w:color="auto"/>
              <w:right w:val="single" w:sz="4" w:space="0" w:color="auto"/>
            </w:tcBorders>
            <w:shd w:val="clear" w:color="000000" w:fill="FFFFFF"/>
            <w:vAlign w:val="center"/>
          </w:tcPr>
          <w:p w14:paraId="1D0ACE2B" w14:textId="77803750" w:rsidR="00E91DB7" w:rsidRPr="009875AA" w:rsidRDefault="00CC0FFE">
            <w:pPr>
              <w:spacing w:line="360" w:lineRule="auto"/>
              <w:rPr>
                <w:rFonts w:ascii="宋体" w:eastAsia="宋体" w:hAnsi="宋体" w:cs="宋体"/>
                <w:sz w:val="24"/>
                <w:szCs w:val="24"/>
              </w:rPr>
            </w:pPr>
            <w:r w:rsidRPr="009875AA">
              <w:rPr>
                <w:rFonts w:ascii="宋体" w:eastAsia="宋体" w:hAnsi="宋体" w:cs="宋体" w:hint="eastAsia"/>
                <w:sz w:val="24"/>
                <w:szCs w:val="24"/>
              </w:rPr>
              <w:t>智慧家庭病房生命体征存储和分析</w:t>
            </w:r>
            <w:r w:rsidRPr="009875AA">
              <w:rPr>
                <w:rFonts w:ascii="宋体" w:eastAsia="宋体" w:hAnsi="宋体" w:cs="宋体"/>
                <w:sz w:val="24"/>
                <w:szCs w:val="24"/>
              </w:rPr>
              <w:t>GPU</w:t>
            </w:r>
            <w:r w:rsidR="00757997" w:rsidRPr="009875AA">
              <w:rPr>
                <w:rFonts w:ascii="宋体" w:eastAsia="宋体" w:hAnsi="宋体" w:cs="宋体" w:hint="eastAsia"/>
                <w:sz w:val="24"/>
                <w:szCs w:val="24"/>
              </w:rPr>
              <w:t>服务器</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4293FB2C" w14:textId="77777777" w:rsidR="00E91DB7" w:rsidRPr="009875AA" w:rsidRDefault="00757997">
            <w:pPr>
              <w:spacing w:line="360" w:lineRule="auto"/>
              <w:rPr>
                <w:rFonts w:ascii="宋体" w:eastAsia="宋体" w:hAnsi="宋体" w:cs="宋体"/>
                <w:sz w:val="24"/>
                <w:szCs w:val="24"/>
              </w:rPr>
            </w:pPr>
            <w:r w:rsidRPr="009875AA">
              <w:rPr>
                <w:rFonts w:ascii="宋体" w:eastAsia="宋体" w:hAnsi="宋体" w:cs="宋体" w:hint="eastAsia"/>
                <w:sz w:val="24"/>
                <w:szCs w:val="24"/>
              </w:rPr>
              <w:t>1台</w:t>
            </w:r>
          </w:p>
        </w:tc>
        <w:tc>
          <w:tcPr>
            <w:tcW w:w="1417" w:type="dxa"/>
            <w:tcBorders>
              <w:top w:val="single" w:sz="4" w:space="0" w:color="auto"/>
              <w:left w:val="nil"/>
              <w:bottom w:val="single" w:sz="4" w:space="0" w:color="auto"/>
              <w:right w:val="single" w:sz="4" w:space="0" w:color="auto"/>
            </w:tcBorders>
            <w:shd w:val="clear" w:color="000000" w:fill="FFFFFF"/>
          </w:tcPr>
          <w:p w14:paraId="42179FA0" w14:textId="77777777" w:rsidR="00E91DB7" w:rsidRPr="009875AA" w:rsidRDefault="00757997">
            <w:pPr>
              <w:spacing w:line="360" w:lineRule="auto"/>
              <w:rPr>
                <w:rFonts w:ascii="宋体" w:eastAsia="宋体" w:hAnsi="宋体" w:cs="宋体"/>
                <w:sz w:val="24"/>
                <w:szCs w:val="24"/>
              </w:rPr>
            </w:pPr>
            <w:r w:rsidRPr="009875AA">
              <w:rPr>
                <w:rFonts w:ascii="宋体" w:eastAsia="宋体" w:hAnsi="宋体" w:cs="宋体" w:hint="eastAsia"/>
                <w:sz w:val="24"/>
                <w:szCs w:val="24"/>
              </w:rPr>
              <w:t>五年</w:t>
            </w:r>
          </w:p>
        </w:tc>
      </w:tr>
    </w:tbl>
    <w:p w14:paraId="6423FB4A" w14:textId="77777777" w:rsidR="00E91DB7" w:rsidRPr="009875AA" w:rsidRDefault="00E91DB7">
      <w:pPr>
        <w:rPr>
          <w:rFonts w:ascii="宋体" w:eastAsia="宋体" w:hAnsi="宋体" w:cs="宋体"/>
          <w:sz w:val="24"/>
          <w:szCs w:val="24"/>
        </w:rPr>
      </w:pPr>
    </w:p>
    <w:bookmarkEnd w:id="1"/>
    <w:p w14:paraId="536C347A" w14:textId="77777777" w:rsidR="00E91DB7" w:rsidRPr="009875AA" w:rsidRDefault="00757997">
      <w:pPr>
        <w:pStyle w:val="2"/>
        <w:numPr>
          <w:ilvl w:val="0"/>
          <w:numId w:val="1"/>
        </w:numPr>
        <w:spacing w:line="276" w:lineRule="auto"/>
        <w:rPr>
          <w:rFonts w:ascii="宋体" w:eastAsia="宋体" w:hAnsi="宋体" w:cs="宋体"/>
          <w:sz w:val="24"/>
          <w:szCs w:val="24"/>
        </w:rPr>
      </w:pPr>
      <w:r w:rsidRPr="009875AA">
        <w:rPr>
          <w:rFonts w:ascii="宋体" w:eastAsia="宋体" w:hAnsi="宋体" w:cs="宋体" w:hint="eastAsia"/>
          <w:sz w:val="24"/>
          <w:szCs w:val="24"/>
        </w:rPr>
        <w:t>功能参数</w:t>
      </w:r>
    </w:p>
    <w:tbl>
      <w:tblPr>
        <w:tblW w:w="5383"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1315"/>
        <w:gridCol w:w="6945"/>
      </w:tblGrid>
      <w:tr w:rsidR="000B050A" w:rsidRPr="009875AA" w14:paraId="140C6CB0" w14:textId="77777777">
        <w:trPr>
          <w:trHeight w:val="636"/>
        </w:trPr>
        <w:tc>
          <w:tcPr>
            <w:tcW w:w="376" w:type="pct"/>
            <w:shd w:val="clear" w:color="auto" w:fill="00B0F0"/>
            <w:noWrap/>
            <w:vAlign w:val="center"/>
          </w:tcPr>
          <w:p w14:paraId="79260A0D" w14:textId="77777777" w:rsidR="00E91DB7" w:rsidRPr="009875AA" w:rsidRDefault="00757997">
            <w:pPr>
              <w:widowControl/>
              <w:jc w:val="center"/>
              <w:textAlignment w:val="center"/>
              <w:rPr>
                <w:rFonts w:ascii="宋体" w:eastAsia="宋体" w:hAnsi="宋体" w:cs="宋体"/>
                <w:b/>
                <w:bCs/>
                <w:sz w:val="24"/>
                <w:szCs w:val="24"/>
              </w:rPr>
            </w:pPr>
            <w:r w:rsidRPr="009875AA">
              <w:rPr>
                <w:rFonts w:ascii="宋体" w:eastAsia="宋体" w:hAnsi="宋体" w:cs="宋体" w:hint="eastAsia"/>
                <w:b/>
                <w:bCs/>
                <w:kern w:val="0"/>
                <w:sz w:val="24"/>
                <w:szCs w:val="24"/>
                <w:lang w:bidi="ar"/>
              </w:rPr>
              <w:t>序号</w:t>
            </w:r>
          </w:p>
        </w:tc>
        <w:tc>
          <w:tcPr>
            <w:tcW w:w="736" w:type="pct"/>
            <w:shd w:val="clear" w:color="auto" w:fill="00B0F0"/>
            <w:noWrap/>
            <w:vAlign w:val="center"/>
          </w:tcPr>
          <w:p w14:paraId="435C9DD7" w14:textId="77777777" w:rsidR="00E91DB7" w:rsidRPr="009875AA" w:rsidRDefault="00757997">
            <w:pPr>
              <w:widowControl/>
              <w:jc w:val="center"/>
              <w:textAlignment w:val="center"/>
              <w:rPr>
                <w:rFonts w:ascii="宋体" w:eastAsia="宋体" w:hAnsi="宋体" w:cs="宋体"/>
                <w:b/>
                <w:bCs/>
                <w:sz w:val="24"/>
                <w:szCs w:val="24"/>
              </w:rPr>
            </w:pPr>
            <w:r w:rsidRPr="009875AA">
              <w:rPr>
                <w:rFonts w:ascii="宋体" w:eastAsia="宋体" w:hAnsi="宋体" w:cs="宋体" w:hint="eastAsia"/>
                <w:b/>
                <w:bCs/>
                <w:kern w:val="0"/>
                <w:sz w:val="24"/>
                <w:szCs w:val="24"/>
                <w:lang w:bidi="ar"/>
              </w:rPr>
              <w:t>硬件</w:t>
            </w:r>
          </w:p>
        </w:tc>
        <w:tc>
          <w:tcPr>
            <w:tcW w:w="3889" w:type="pct"/>
            <w:shd w:val="clear" w:color="auto" w:fill="00B0F0"/>
            <w:noWrap/>
            <w:vAlign w:val="center"/>
          </w:tcPr>
          <w:p w14:paraId="53202A87" w14:textId="77777777" w:rsidR="00E91DB7" w:rsidRPr="009875AA" w:rsidRDefault="00757997">
            <w:pPr>
              <w:widowControl/>
              <w:jc w:val="center"/>
              <w:textAlignment w:val="center"/>
              <w:rPr>
                <w:rFonts w:ascii="宋体" w:eastAsia="宋体" w:hAnsi="宋体" w:cs="宋体"/>
                <w:b/>
                <w:bCs/>
                <w:sz w:val="24"/>
                <w:szCs w:val="24"/>
              </w:rPr>
            </w:pPr>
            <w:r w:rsidRPr="009875AA">
              <w:rPr>
                <w:rFonts w:ascii="宋体" w:eastAsia="宋体" w:hAnsi="宋体" w:cs="宋体" w:hint="eastAsia"/>
                <w:b/>
                <w:bCs/>
                <w:kern w:val="0"/>
                <w:sz w:val="24"/>
                <w:szCs w:val="24"/>
                <w:lang w:bidi="ar"/>
              </w:rPr>
              <w:t>参数</w:t>
            </w:r>
          </w:p>
        </w:tc>
      </w:tr>
      <w:tr w:rsidR="000B050A" w:rsidRPr="009875AA" w14:paraId="38706A02" w14:textId="77777777">
        <w:trPr>
          <w:trHeight w:val="615"/>
        </w:trPr>
        <w:tc>
          <w:tcPr>
            <w:tcW w:w="376" w:type="pct"/>
            <w:shd w:val="clear" w:color="auto" w:fill="auto"/>
            <w:noWrap/>
            <w:vAlign w:val="center"/>
          </w:tcPr>
          <w:p w14:paraId="3BB26824" w14:textId="77777777" w:rsidR="00E91DB7" w:rsidRPr="009875AA" w:rsidRDefault="00757997">
            <w:pPr>
              <w:widowControl/>
              <w:jc w:val="center"/>
              <w:textAlignment w:val="center"/>
              <w:rPr>
                <w:rFonts w:ascii="宋体" w:eastAsia="宋体" w:hAnsi="宋体" w:cs="宋体"/>
                <w:sz w:val="24"/>
                <w:szCs w:val="24"/>
              </w:rPr>
            </w:pPr>
            <w:r w:rsidRPr="009875AA">
              <w:rPr>
                <w:rFonts w:ascii="宋体" w:eastAsia="宋体" w:hAnsi="宋体" w:cs="宋体" w:hint="eastAsia"/>
                <w:kern w:val="0"/>
                <w:sz w:val="24"/>
                <w:szCs w:val="24"/>
                <w:lang w:bidi="ar"/>
              </w:rPr>
              <w:t>1</w:t>
            </w:r>
          </w:p>
        </w:tc>
        <w:tc>
          <w:tcPr>
            <w:tcW w:w="736" w:type="pct"/>
            <w:shd w:val="clear" w:color="auto" w:fill="auto"/>
            <w:noWrap/>
            <w:vAlign w:val="center"/>
          </w:tcPr>
          <w:p w14:paraId="4651FC81" w14:textId="77777777" w:rsidR="00E91DB7" w:rsidRPr="009875AA" w:rsidRDefault="00757997">
            <w:pPr>
              <w:widowControl/>
              <w:jc w:val="left"/>
              <w:textAlignment w:val="center"/>
              <w:rPr>
                <w:rFonts w:ascii="宋体" w:eastAsia="宋体" w:hAnsi="宋体" w:cs="宋体"/>
                <w:sz w:val="24"/>
                <w:szCs w:val="24"/>
              </w:rPr>
            </w:pPr>
            <w:r w:rsidRPr="009875AA">
              <w:rPr>
                <w:rFonts w:ascii="宋体" w:eastAsia="宋体" w:hAnsi="宋体" w:cs="宋体" w:hint="eastAsia"/>
                <w:sz w:val="24"/>
                <w:szCs w:val="24"/>
              </w:rPr>
              <w:t>处理器</w:t>
            </w:r>
          </w:p>
        </w:tc>
        <w:tc>
          <w:tcPr>
            <w:tcW w:w="3889" w:type="pct"/>
            <w:shd w:val="clear" w:color="auto" w:fill="auto"/>
            <w:vAlign w:val="center"/>
          </w:tcPr>
          <w:p w14:paraId="5250A905" w14:textId="77777777" w:rsidR="00E91DB7" w:rsidRPr="009875AA" w:rsidRDefault="00757997">
            <w:pPr>
              <w:widowControl/>
              <w:spacing w:line="360" w:lineRule="auto"/>
              <w:jc w:val="left"/>
              <w:rPr>
                <w:rFonts w:ascii="宋体" w:eastAsia="宋体" w:hAnsi="宋体" w:cs="宋体"/>
                <w:bCs/>
                <w:kern w:val="0"/>
                <w:sz w:val="24"/>
                <w:szCs w:val="24"/>
              </w:rPr>
            </w:pPr>
            <w:r w:rsidRPr="009875AA">
              <w:rPr>
                <w:rFonts w:ascii="宋体" w:eastAsia="宋体" w:hAnsi="宋体" w:cs="宋体" w:hint="eastAsia"/>
                <w:bCs/>
                <w:kern w:val="0"/>
                <w:sz w:val="24"/>
                <w:szCs w:val="24"/>
              </w:rPr>
              <w:t>Intel C621A系列高性能芯片组，支持两颗第三代Intel® Xeon® Processor Scalable 可扩展家族CPU；</w:t>
            </w:r>
          </w:p>
          <w:p w14:paraId="7B70FB94" w14:textId="77777777" w:rsidR="00E91DB7" w:rsidRPr="009875AA" w:rsidRDefault="00757997">
            <w:pPr>
              <w:widowControl/>
              <w:jc w:val="left"/>
              <w:textAlignment w:val="center"/>
              <w:rPr>
                <w:rFonts w:ascii="宋体" w:eastAsia="宋体" w:hAnsi="宋体" w:cs="宋体"/>
                <w:sz w:val="24"/>
                <w:szCs w:val="24"/>
              </w:rPr>
            </w:pPr>
            <w:r w:rsidRPr="009875AA">
              <w:rPr>
                <w:rFonts w:ascii="宋体" w:eastAsia="宋体" w:hAnsi="宋体" w:cs="宋体" w:hint="eastAsia"/>
                <w:bCs/>
                <w:kern w:val="0"/>
                <w:sz w:val="24"/>
                <w:szCs w:val="24"/>
              </w:rPr>
              <w:t>本次配置：CPU</w:t>
            </w:r>
            <w:r w:rsidRPr="009875AA">
              <w:rPr>
                <w:rFonts w:ascii="宋体" w:eastAsia="宋体" w:hAnsi="宋体" w:cs="宋体" w:hint="eastAsia"/>
                <w:sz w:val="24"/>
                <w:szCs w:val="24"/>
              </w:rPr>
              <w:t>≥</w:t>
            </w:r>
            <w:r w:rsidRPr="009875AA">
              <w:rPr>
                <w:rFonts w:ascii="宋体" w:eastAsia="宋体" w:hAnsi="宋体" w:cs="宋体" w:hint="eastAsia"/>
                <w:bCs/>
                <w:kern w:val="0"/>
                <w:sz w:val="24"/>
                <w:szCs w:val="24"/>
              </w:rPr>
              <w:t>2颗Intel Xeon Platinum系列，主频</w:t>
            </w:r>
            <w:r w:rsidRPr="009875AA">
              <w:rPr>
                <w:rFonts w:ascii="宋体" w:eastAsia="宋体" w:hAnsi="宋体" w:cs="宋体" w:hint="eastAsia"/>
                <w:sz w:val="24"/>
                <w:szCs w:val="24"/>
              </w:rPr>
              <w:t>≥</w:t>
            </w:r>
            <w:r w:rsidRPr="009875AA">
              <w:rPr>
                <w:rFonts w:ascii="宋体" w:eastAsia="宋体" w:hAnsi="宋体" w:cs="宋体" w:hint="eastAsia"/>
                <w:bCs/>
                <w:kern w:val="0"/>
                <w:sz w:val="24"/>
                <w:szCs w:val="24"/>
              </w:rPr>
              <w:t>2.10 GHz，二级缓存</w:t>
            </w:r>
            <w:r w:rsidRPr="009875AA">
              <w:rPr>
                <w:rFonts w:ascii="宋体" w:eastAsia="宋体" w:hAnsi="宋体" w:cs="宋体" w:hint="eastAsia"/>
                <w:sz w:val="24"/>
                <w:szCs w:val="24"/>
              </w:rPr>
              <w:t>≥54</w:t>
            </w:r>
            <w:r w:rsidRPr="009875AA">
              <w:rPr>
                <w:rFonts w:ascii="宋体" w:eastAsia="宋体" w:hAnsi="宋体" w:cs="宋体" w:hint="eastAsia"/>
                <w:bCs/>
                <w:kern w:val="0"/>
                <w:sz w:val="24"/>
                <w:szCs w:val="24"/>
              </w:rPr>
              <w:t xml:space="preserve"> MB，单个处理器内核</w:t>
            </w:r>
            <w:r w:rsidRPr="009875AA">
              <w:rPr>
                <w:rFonts w:ascii="宋体" w:eastAsia="宋体" w:hAnsi="宋体" w:cs="宋体" w:hint="eastAsia"/>
                <w:sz w:val="24"/>
                <w:szCs w:val="24"/>
              </w:rPr>
              <w:t>≥</w:t>
            </w:r>
            <w:r w:rsidRPr="009875AA">
              <w:rPr>
                <w:rFonts w:ascii="宋体" w:eastAsia="宋体" w:hAnsi="宋体" w:cs="宋体" w:hint="eastAsia"/>
                <w:bCs/>
                <w:kern w:val="0"/>
                <w:sz w:val="24"/>
                <w:szCs w:val="24"/>
              </w:rPr>
              <w:t>36核72线程；</w:t>
            </w:r>
          </w:p>
        </w:tc>
      </w:tr>
      <w:tr w:rsidR="000B050A" w:rsidRPr="009875AA" w14:paraId="065A77B1" w14:textId="77777777">
        <w:trPr>
          <w:trHeight w:val="555"/>
        </w:trPr>
        <w:tc>
          <w:tcPr>
            <w:tcW w:w="376" w:type="pct"/>
            <w:shd w:val="clear" w:color="auto" w:fill="auto"/>
            <w:noWrap/>
            <w:vAlign w:val="center"/>
          </w:tcPr>
          <w:p w14:paraId="4B9F9156" w14:textId="77777777" w:rsidR="00E91DB7" w:rsidRPr="009875AA" w:rsidRDefault="00757997">
            <w:pPr>
              <w:widowControl/>
              <w:jc w:val="center"/>
              <w:textAlignment w:val="center"/>
              <w:rPr>
                <w:rFonts w:ascii="宋体" w:eastAsia="宋体" w:hAnsi="宋体" w:cs="宋体"/>
                <w:kern w:val="0"/>
                <w:sz w:val="24"/>
                <w:szCs w:val="24"/>
                <w:lang w:bidi="ar"/>
              </w:rPr>
            </w:pPr>
            <w:bookmarkStart w:id="2" w:name="_Toc79607384"/>
            <w:bookmarkStart w:id="3" w:name="_Toc529108596"/>
            <w:bookmarkStart w:id="4" w:name="_Hlk135761294"/>
            <w:r w:rsidRPr="009875AA">
              <w:rPr>
                <w:rFonts w:ascii="宋体" w:eastAsia="宋体" w:hAnsi="宋体" w:cs="宋体" w:hint="eastAsia"/>
                <w:kern w:val="0"/>
                <w:sz w:val="24"/>
                <w:szCs w:val="24"/>
                <w:lang w:bidi="ar"/>
              </w:rPr>
              <w:t>2</w:t>
            </w:r>
          </w:p>
        </w:tc>
        <w:tc>
          <w:tcPr>
            <w:tcW w:w="736" w:type="pct"/>
            <w:shd w:val="clear" w:color="auto" w:fill="auto"/>
            <w:noWrap/>
            <w:vAlign w:val="center"/>
          </w:tcPr>
          <w:p w14:paraId="43977C70"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内存</w:t>
            </w:r>
          </w:p>
        </w:tc>
        <w:tc>
          <w:tcPr>
            <w:tcW w:w="3889" w:type="pct"/>
            <w:shd w:val="clear" w:color="auto" w:fill="auto"/>
            <w:vAlign w:val="center"/>
          </w:tcPr>
          <w:p w14:paraId="258DB99E" w14:textId="77777777" w:rsidR="00E91DB7" w:rsidRPr="009875AA" w:rsidRDefault="00757997">
            <w:pPr>
              <w:widowControl/>
              <w:spacing w:line="360" w:lineRule="auto"/>
              <w:jc w:val="left"/>
              <w:rPr>
                <w:rFonts w:ascii="宋体" w:eastAsia="宋体" w:hAnsi="宋体" w:cs="宋体"/>
                <w:bCs/>
                <w:kern w:val="0"/>
                <w:sz w:val="24"/>
                <w:szCs w:val="24"/>
              </w:rPr>
            </w:pPr>
            <w:r w:rsidRPr="000B050A">
              <w:rPr>
                <w:rFonts w:ascii="宋体" w:eastAsia="宋体" w:hAnsi="宋体" w:cs="宋体" w:hint="eastAsia"/>
                <w:bCs/>
                <w:kern w:val="0"/>
                <w:sz w:val="24"/>
                <w:szCs w:val="24"/>
              </w:rPr>
              <w:t>最大支持</w:t>
            </w:r>
            <w:r w:rsidRPr="009875AA">
              <w:rPr>
                <w:rFonts w:ascii="宋体" w:eastAsia="宋体" w:hAnsi="宋体" w:cs="宋体" w:hint="eastAsia"/>
                <w:bCs/>
                <w:kern w:val="0"/>
                <w:sz w:val="24"/>
                <w:szCs w:val="24"/>
              </w:rPr>
              <w:t>32DIMM插槽,</w:t>
            </w:r>
            <w:r w:rsidRPr="009875AA">
              <w:rPr>
                <w:rFonts w:ascii="宋体" w:eastAsia="宋体" w:hAnsi="宋体" w:cs="宋体" w:hint="eastAsia"/>
                <w:sz w:val="24"/>
                <w:szCs w:val="24"/>
              </w:rPr>
              <w:t>3200/2933/2666/2400/2133MHz ECC DDR4 SDRAM，最大支持6TB</w:t>
            </w:r>
            <w:r w:rsidRPr="009875AA">
              <w:rPr>
                <w:rFonts w:ascii="宋体" w:eastAsia="宋体" w:hAnsi="宋体" w:cs="宋体" w:hint="eastAsia"/>
                <w:bCs/>
                <w:kern w:val="0"/>
                <w:sz w:val="24"/>
                <w:szCs w:val="24"/>
              </w:rPr>
              <w:t>；</w:t>
            </w:r>
          </w:p>
          <w:p w14:paraId="4916AF93" w14:textId="77777777" w:rsidR="00E91DB7" w:rsidRPr="009875AA" w:rsidRDefault="00757997">
            <w:pPr>
              <w:widowControl/>
              <w:jc w:val="left"/>
              <w:textAlignment w:val="center"/>
              <w:rPr>
                <w:rFonts w:ascii="宋体" w:eastAsia="宋体" w:hAnsi="宋体" w:cs="宋体"/>
                <w:kern w:val="0"/>
                <w:sz w:val="24"/>
                <w:szCs w:val="24"/>
                <w:lang w:bidi="ar"/>
              </w:rPr>
            </w:pPr>
            <w:r w:rsidRPr="009875AA">
              <w:rPr>
                <w:rFonts w:ascii="宋体" w:eastAsia="宋体" w:hAnsi="宋体" w:cs="宋体" w:hint="eastAsia"/>
                <w:bCs/>
                <w:kern w:val="0"/>
                <w:sz w:val="24"/>
                <w:szCs w:val="24"/>
              </w:rPr>
              <w:t>本次配置：内存≥8条32GB DDR4 ECC REG 3200；</w:t>
            </w:r>
          </w:p>
        </w:tc>
      </w:tr>
      <w:tr w:rsidR="000B050A" w:rsidRPr="009875AA" w14:paraId="5C98DA4A" w14:textId="77777777">
        <w:trPr>
          <w:trHeight w:val="518"/>
        </w:trPr>
        <w:tc>
          <w:tcPr>
            <w:tcW w:w="376" w:type="pct"/>
            <w:shd w:val="clear" w:color="auto" w:fill="auto"/>
            <w:noWrap/>
            <w:vAlign w:val="center"/>
          </w:tcPr>
          <w:p w14:paraId="57AE7A3F"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3</w:t>
            </w:r>
          </w:p>
        </w:tc>
        <w:tc>
          <w:tcPr>
            <w:tcW w:w="736" w:type="pct"/>
            <w:shd w:val="clear" w:color="auto" w:fill="auto"/>
            <w:noWrap/>
            <w:vAlign w:val="center"/>
          </w:tcPr>
          <w:p w14:paraId="5B949E86"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硬盘</w:t>
            </w:r>
          </w:p>
        </w:tc>
        <w:tc>
          <w:tcPr>
            <w:tcW w:w="3889" w:type="pct"/>
            <w:shd w:val="clear" w:color="auto" w:fill="auto"/>
            <w:vAlign w:val="center"/>
          </w:tcPr>
          <w:p w14:paraId="6F925A23" w14:textId="77777777" w:rsidR="00E91DB7" w:rsidRPr="009875A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本次配置：硬盘≥</w:t>
            </w:r>
            <w:r w:rsidRPr="009875AA">
              <w:rPr>
                <w:rFonts w:ascii="宋体" w:eastAsia="宋体" w:hAnsi="宋体" w:cs="宋体" w:hint="eastAsia"/>
                <w:bCs/>
                <w:kern w:val="0"/>
                <w:sz w:val="24"/>
                <w:szCs w:val="24"/>
              </w:rPr>
              <w:t>3块16TB 7200RPM 3.5寸企业级HDD，≥2块960G 2.5寸U.2 SSD,支持热插拔</w:t>
            </w:r>
          </w:p>
        </w:tc>
      </w:tr>
      <w:tr w:rsidR="000B050A" w:rsidRPr="009875AA" w14:paraId="0E8DCA53" w14:textId="77777777">
        <w:trPr>
          <w:trHeight w:val="467"/>
        </w:trPr>
        <w:tc>
          <w:tcPr>
            <w:tcW w:w="376" w:type="pct"/>
            <w:shd w:val="clear" w:color="auto" w:fill="auto"/>
            <w:noWrap/>
            <w:vAlign w:val="center"/>
          </w:tcPr>
          <w:p w14:paraId="6EFB202C"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4</w:t>
            </w:r>
          </w:p>
        </w:tc>
        <w:tc>
          <w:tcPr>
            <w:tcW w:w="736" w:type="pct"/>
            <w:shd w:val="clear" w:color="auto" w:fill="auto"/>
            <w:noWrap/>
            <w:vAlign w:val="center"/>
          </w:tcPr>
          <w:p w14:paraId="330E2947" w14:textId="77777777" w:rsidR="00E91DB7" w:rsidRPr="009875A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U.2</w:t>
            </w:r>
            <w:r w:rsidRPr="009875AA">
              <w:rPr>
                <w:rFonts w:ascii="宋体" w:eastAsia="宋体" w:hAnsi="宋体" w:cs="宋体" w:hint="eastAsia"/>
                <w:bCs/>
                <w:kern w:val="0"/>
                <w:sz w:val="24"/>
                <w:szCs w:val="24"/>
              </w:rPr>
              <w:t>硬盘速率</w:t>
            </w:r>
          </w:p>
        </w:tc>
        <w:tc>
          <w:tcPr>
            <w:tcW w:w="3889" w:type="pct"/>
            <w:shd w:val="clear" w:color="auto" w:fill="auto"/>
            <w:vAlign w:val="center"/>
          </w:tcPr>
          <w:p w14:paraId="415254D8" w14:textId="77777777" w:rsidR="00E91DB7" w:rsidRPr="009875AA" w:rsidRDefault="00757997">
            <w:pPr>
              <w:spacing w:line="360" w:lineRule="auto"/>
              <w:rPr>
                <w:rFonts w:ascii="宋体" w:eastAsia="宋体" w:hAnsi="宋体" w:cs="宋体"/>
                <w:sz w:val="24"/>
                <w:szCs w:val="24"/>
              </w:rPr>
            </w:pPr>
            <w:r w:rsidRPr="009875AA">
              <w:rPr>
                <w:rFonts w:ascii="宋体" w:eastAsia="宋体" w:hAnsi="宋体" w:cs="宋体" w:hint="eastAsia"/>
                <w:bCs/>
                <w:kern w:val="0"/>
                <w:sz w:val="24"/>
                <w:szCs w:val="24"/>
              </w:rPr>
              <w:t>读≥3200MB/s,写≥2400 MB/s</w:t>
            </w:r>
          </w:p>
        </w:tc>
      </w:tr>
      <w:tr w:rsidR="000B050A" w:rsidRPr="009875AA" w14:paraId="79AC2645" w14:textId="77777777">
        <w:trPr>
          <w:trHeight w:val="467"/>
        </w:trPr>
        <w:tc>
          <w:tcPr>
            <w:tcW w:w="376" w:type="pct"/>
            <w:shd w:val="clear" w:color="auto" w:fill="auto"/>
            <w:noWrap/>
            <w:vAlign w:val="center"/>
          </w:tcPr>
          <w:p w14:paraId="70977C2F"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5</w:t>
            </w:r>
          </w:p>
        </w:tc>
        <w:tc>
          <w:tcPr>
            <w:tcW w:w="736" w:type="pct"/>
            <w:shd w:val="clear" w:color="auto" w:fill="auto"/>
            <w:noWrap/>
            <w:vAlign w:val="center"/>
          </w:tcPr>
          <w:p w14:paraId="7E841374" w14:textId="77777777" w:rsidR="00E91DB7" w:rsidRPr="009875AA" w:rsidRDefault="00757997">
            <w:pPr>
              <w:widowControl/>
              <w:jc w:val="left"/>
              <w:textAlignment w:val="center"/>
              <w:rPr>
                <w:rFonts w:ascii="宋体" w:eastAsia="宋体" w:hAnsi="宋体" w:cs="宋体"/>
                <w:sz w:val="24"/>
                <w:szCs w:val="24"/>
              </w:rPr>
            </w:pPr>
            <w:proofErr w:type="gramStart"/>
            <w:r w:rsidRPr="000B050A">
              <w:rPr>
                <w:rFonts w:ascii="宋体" w:eastAsia="宋体" w:hAnsi="宋体" w:cs="宋体" w:hint="eastAsia"/>
                <w:bCs/>
                <w:kern w:val="0"/>
                <w:sz w:val="24"/>
                <w:szCs w:val="24"/>
              </w:rPr>
              <w:t>硬盘位</w:t>
            </w:r>
            <w:proofErr w:type="gramEnd"/>
            <w:r w:rsidRPr="000B050A">
              <w:rPr>
                <w:rFonts w:ascii="宋体" w:eastAsia="宋体" w:hAnsi="宋体" w:cs="宋体" w:hint="eastAsia"/>
                <w:bCs/>
                <w:kern w:val="0"/>
                <w:sz w:val="24"/>
                <w:szCs w:val="24"/>
              </w:rPr>
              <w:t>扩展</w:t>
            </w:r>
          </w:p>
        </w:tc>
        <w:tc>
          <w:tcPr>
            <w:tcW w:w="3889" w:type="pct"/>
            <w:shd w:val="clear" w:color="auto" w:fill="auto"/>
            <w:vAlign w:val="center"/>
          </w:tcPr>
          <w:p w14:paraId="2BEB3710" w14:textId="77777777" w:rsidR="00E91DB7" w:rsidRPr="009875AA" w:rsidRDefault="00757997">
            <w:pPr>
              <w:spacing w:line="360" w:lineRule="auto"/>
              <w:rPr>
                <w:rFonts w:ascii="宋体" w:eastAsia="宋体" w:hAnsi="宋体" w:cs="宋体"/>
                <w:sz w:val="24"/>
                <w:szCs w:val="24"/>
              </w:rPr>
            </w:pPr>
            <w:r w:rsidRPr="000B050A">
              <w:rPr>
                <w:rFonts w:ascii="宋体" w:eastAsia="宋体" w:hAnsi="宋体" w:cs="宋体" w:hint="eastAsia"/>
                <w:sz w:val="24"/>
                <w:szCs w:val="24"/>
              </w:rPr>
              <w:t>最大支持</w:t>
            </w:r>
            <w:r w:rsidRPr="009875AA">
              <w:rPr>
                <w:rFonts w:ascii="宋体" w:eastAsia="宋体" w:hAnsi="宋体" w:cs="宋体" w:hint="eastAsia"/>
                <w:sz w:val="24"/>
                <w:szCs w:val="24"/>
              </w:rPr>
              <w:t>30块硬盘位，24块2.5寸热插拔SAS/SATA硬盘以及6块3.5寸SATA硬盘，其中默认支持8块2.5寸</w:t>
            </w:r>
            <w:proofErr w:type="spellStart"/>
            <w:r w:rsidRPr="009875AA">
              <w:rPr>
                <w:rFonts w:ascii="宋体" w:eastAsia="宋体" w:hAnsi="宋体" w:cs="宋体" w:hint="eastAsia"/>
                <w:sz w:val="24"/>
                <w:szCs w:val="24"/>
              </w:rPr>
              <w:t>NVMe</w:t>
            </w:r>
            <w:proofErr w:type="spellEnd"/>
            <w:r w:rsidRPr="009875AA">
              <w:rPr>
                <w:rFonts w:ascii="宋体" w:eastAsia="宋体" w:hAnsi="宋体" w:cs="宋体" w:hint="eastAsia"/>
                <w:sz w:val="24"/>
                <w:szCs w:val="24"/>
              </w:rPr>
              <w:t xml:space="preserve"> U.2热插拔盘位，</w:t>
            </w:r>
            <w:proofErr w:type="gramStart"/>
            <w:r w:rsidRPr="009875AA">
              <w:rPr>
                <w:rFonts w:ascii="宋体" w:eastAsia="宋体" w:hAnsi="宋体" w:cs="宋体" w:hint="eastAsia"/>
                <w:sz w:val="24"/>
                <w:szCs w:val="24"/>
              </w:rPr>
              <w:t>板载</w:t>
            </w:r>
            <w:proofErr w:type="gramEnd"/>
            <w:r w:rsidRPr="009875AA">
              <w:rPr>
                <w:rFonts w:ascii="宋体" w:eastAsia="宋体" w:hAnsi="宋体" w:cs="宋体" w:hint="eastAsia"/>
                <w:sz w:val="24"/>
                <w:szCs w:val="24"/>
              </w:rPr>
              <w:t xml:space="preserve"> SATA 控制器，提供 10 </w:t>
            </w:r>
            <w:proofErr w:type="gramStart"/>
            <w:r w:rsidRPr="009875AA">
              <w:rPr>
                <w:rFonts w:ascii="宋体" w:eastAsia="宋体" w:hAnsi="宋体" w:cs="宋体" w:hint="eastAsia"/>
                <w:sz w:val="24"/>
                <w:szCs w:val="24"/>
              </w:rPr>
              <w:t>个</w:t>
            </w:r>
            <w:proofErr w:type="gramEnd"/>
            <w:r w:rsidRPr="009875AA">
              <w:rPr>
                <w:rFonts w:ascii="宋体" w:eastAsia="宋体" w:hAnsi="宋体" w:cs="宋体" w:hint="eastAsia"/>
                <w:sz w:val="24"/>
                <w:szCs w:val="24"/>
              </w:rPr>
              <w:t xml:space="preserve"> SATA3 (6Gbps) ports；</w:t>
            </w:r>
          </w:p>
        </w:tc>
      </w:tr>
      <w:tr w:rsidR="000B050A" w:rsidRPr="009875AA" w14:paraId="63916173" w14:textId="77777777">
        <w:trPr>
          <w:trHeight w:val="515"/>
        </w:trPr>
        <w:tc>
          <w:tcPr>
            <w:tcW w:w="376" w:type="pct"/>
            <w:shd w:val="clear" w:color="auto" w:fill="auto"/>
            <w:noWrap/>
            <w:vAlign w:val="center"/>
          </w:tcPr>
          <w:p w14:paraId="5C450D84"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6</w:t>
            </w:r>
          </w:p>
        </w:tc>
        <w:tc>
          <w:tcPr>
            <w:tcW w:w="736" w:type="pct"/>
            <w:shd w:val="clear" w:color="auto" w:fill="auto"/>
            <w:noWrap/>
            <w:vAlign w:val="center"/>
          </w:tcPr>
          <w:p w14:paraId="602462E2"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RAID</w:t>
            </w:r>
            <w:r w:rsidRPr="009875AA">
              <w:rPr>
                <w:rFonts w:ascii="宋体" w:eastAsia="宋体" w:hAnsi="宋体" w:cs="宋体" w:hint="eastAsia"/>
                <w:sz w:val="24"/>
                <w:szCs w:val="24"/>
              </w:rPr>
              <w:t>套件</w:t>
            </w:r>
          </w:p>
        </w:tc>
        <w:tc>
          <w:tcPr>
            <w:tcW w:w="3889" w:type="pct"/>
            <w:shd w:val="clear" w:color="auto" w:fill="auto"/>
            <w:vAlign w:val="center"/>
          </w:tcPr>
          <w:p w14:paraId="6EF26173" w14:textId="77777777" w:rsidR="00E91DB7" w:rsidRPr="009875AA" w:rsidRDefault="00757997">
            <w:pPr>
              <w:widowControl/>
              <w:jc w:val="left"/>
              <w:textAlignment w:val="center"/>
              <w:rPr>
                <w:rFonts w:ascii="宋体" w:eastAsia="宋体" w:hAnsi="宋体" w:cs="宋体"/>
                <w:kern w:val="0"/>
                <w:sz w:val="24"/>
                <w:szCs w:val="24"/>
                <w:lang w:bidi="ar"/>
              </w:rPr>
            </w:pPr>
            <w:r w:rsidRPr="000B050A">
              <w:rPr>
                <w:rFonts w:ascii="宋体" w:eastAsia="宋体" w:hAnsi="宋体" w:cs="宋体" w:hint="eastAsia"/>
                <w:sz w:val="24"/>
                <w:szCs w:val="24"/>
              </w:rPr>
              <w:t>LR382A</w:t>
            </w:r>
            <w:r w:rsidRPr="009875AA">
              <w:rPr>
                <w:rFonts w:ascii="宋体" w:eastAsia="宋体" w:hAnsi="宋体" w:cs="宋体" w:hint="eastAsia"/>
                <w:sz w:val="24"/>
                <w:szCs w:val="24"/>
              </w:rPr>
              <w:t>套件 1GB缓存 RAID 套件</w:t>
            </w:r>
          </w:p>
        </w:tc>
      </w:tr>
      <w:tr w:rsidR="000B050A" w:rsidRPr="009875AA" w14:paraId="78A936F3" w14:textId="77777777">
        <w:trPr>
          <w:trHeight w:val="540"/>
        </w:trPr>
        <w:tc>
          <w:tcPr>
            <w:tcW w:w="376" w:type="pct"/>
            <w:shd w:val="clear" w:color="auto" w:fill="auto"/>
            <w:noWrap/>
            <w:vAlign w:val="center"/>
          </w:tcPr>
          <w:p w14:paraId="5B546F8A"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7</w:t>
            </w:r>
          </w:p>
        </w:tc>
        <w:tc>
          <w:tcPr>
            <w:tcW w:w="736" w:type="pct"/>
            <w:shd w:val="clear" w:color="auto" w:fill="auto"/>
            <w:noWrap/>
            <w:vAlign w:val="center"/>
          </w:tcPr>
          <w:p w14:paraId="5147D726"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电源</w:t>
            </w:r>
          </w:p>
        </w:tc>
        <w:tc>
          <w:tcPr>
            <w:tcW w:w="3889" w:type="pct"/>
            <w:shd w:val="clear" w:color="auto" w:fill="auto"/>
            <w:vAlign w:val="center"/>
          </w:tcPr>
          <w:p w14:paraId="4C15BAB9" w14:textId="77777777" w:rsidR="00E91DB7" w:rsidRPr="009875AA" w:rsidRDefault="00757997">
            <w:pPr>
              <w:widowControl/>
              <w:jc w:val="left"/>
              <w:textAlignment w:val="center"/>
              <w:rPr>
                <w:rFonts w:ascii="宋体" w:eastAsia="宋体" w:hAnsi="宋体" w:cs="宋体"/>
                <w:kern w:val="0"/>
                <w:sz w:val="24"/>
                <w:szCs w:val="24"/>
                <w:lang w:bidi="ar"/>
              </w:rPr>
            </w:pPr>
            <w:r w:rsidRPr="000B050A">
              <w:rPr>
                <w:rFonts w:ascii="宋体" w:eastAsia="宋体" w:hAnsi="宋体" w:cs="宋体" w:hint="eastAsia"/>
                <w:bCs/>
                <w:kern w:val="0"/>
                <w:sz w:val="24"/>
                <w:szCs w:val="24"/>
              </w:rPr>
              <w:t>配置≥</w:t>
            </w:r>
            <w:r w:rsidRPr="009875AA">
              <w:rPr>
                <w:rFonts w:ascii="宋体" w:eastAsia="宋体" w:hAnsi="宋体" w:cs="宋体" w:hint="eastAsia"/>
                <w:sz w:val="24"/>
                <w:szCs w:val="24"/>
              </w:rPr>
              <w:t>2000W 2+2高效冗余电源（96%plus 钛金认证），电源具备</w:t>
            </w:r>
            <w:proofErr w:type="spellStart"/>
            <w:r w:rsidRPr="009875AA">
              <w:rPr>
                <w:rFonts w:ascii="宋体" w:eastAsia="宋体" w:hAnsi="宋体" w:cs="宋体" w:hint="eastAsia"/>
                <w:sz w:val="24"/>
                <w:szCs w:val="24"/>
              </w:rPr>
              <w:t>PMBus</w:t>
            </w:r>
            <w:proofErr w:type="spellEnd"/>
            <w:r w:rsidRPr="009875AA">
              <w:rPr>
                <w:rFonts w:ascii="宋体" w:eastAsia="宋体" w:hAnsi="宋体" w:cs="宋体" w:hint="eastAsia"/>
                <w:sz w:val="24"/>
                <w:szCs w:val="24"/>
              </w:rPr>
              <w:t>功能</w:t>
            </w:r>
          </w:p>
        </w:tc>
      </w:tr>
      <w:tr w:rsidR="000B050A" w:rsidRPr="009875AA" w14:paraId="1642DC94" w14:textId="77777777">
        <w:trPr>
          <w:trHeight w:val="503"/>
        </w:trPr>
        <w:tc>
          <w:tcPr>
            <w:tcW w:w="376" w:type="pct"/>
            <w:shd w:val="clear" w:color="auto" w:fill="auto"/>
            <w:noWrap/>
            <w:vAlign w:val="center"/>
          </w:tcPr>
          <w:p w14:paraId="0EAE1020"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lastRenderedPageBreak/>
              <w:t>8</w:t>
            </w:r>
          </w:p>
        </w:tc>
        <w:tc>
          <w:tcPr>
            <w:tcW w:w="736" w:type="pct"/>
            <w:shd w:val="clear" w:color="auto" w:fill="auto"/>
            <w:noWrap/>
            <w:vAlign w:val="center"/>
          </w:tcPr>
          <w:p w14:paraId="46AD5B3D"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机箱尺寸</w:t>
            </w:r>
          </w:p>
        </w:tc>
        <w:tc>
          <w:tcPr>
            <w:tcW w:w="3889" w:type="pct"/>
            <w:shd w:val="clear" w:color="auto" w:fill="auto"/>
            <w:vAlign w:val="center"/>
          </w:tcPr>
          <w:p w14:paraId="0392152C" w14:textId="77777777" w:rsidR="00E91DB7" w:rsidRPr="009875AA" w:rsidRDefault="00757997">
            <w:pPr>
              <w:widowControl/>
              <w:jc w:val="left"/>
              <w:textAlignment w:val="center"/>
              <w:rPr>
                <w:rFonts w:ascii="宋体" w:eastAsia="宋体" w:hAnsi="宋体" w:cs="宋体"/>
                <w:kern w:val="0"/>
                <w:sz w:val="24"/>
                <w:szCs w:val="24"/>
                <w:lang w:bidi="ar"/>
              </w:rPr>
            </w:pPr>
            <w:r w:rsidRPr="000B050A">
              <w:rPr>
                <w:rFonts w:ascii="宋体" w:eastAsia="宋体" w:hAnsi="宋体" w:cs="宋体" w:hint="eastAsia"/>
                <w:bCs/>
                <w:kern w:val="0"/>
                <w:sz w:val="24"/>
                <w:szCs w:val="24"/>
              </w:rPr>
              <w:t>标准4U 双路机架式加速计算服务器，配置安装导轨</w:t>
            </w:r>
          </w:p>
        </w:tc>
      </w:tr>
      <w:tr w:rsidR="000B050A" w:rsidRPr="009875AA" w14:paraId="16A87ACF" w14:textId="77777777">
        <w:trPr>
          <w:trHeight w:val="540"/>
        </w:trPr>
        <w:tc>
          <w:tcPr>
            <w:tcW w:w="376" w:type="pct"/>
            <w:shd w:val="clear" w:color="auto" w:fill="auto"/>
            <w:noWrap/>
            <w:vAlign w:val="center"/>
          </w:tcPr>
          <w:p w14:paraId="1E14D7F5"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9</w:t>
            </w:r>
          </w:p>
        </w:tc>
        <w:tc>
          <w:tcPr>
            <w:tcW w:w="736" w:type="pct"/>
            <w:shd w:val="clear" w:color="auto" w:fill="auto"/>
            <w:noWrap/>
            <w:vAlign w:val="center"/>
          </w:tcPr>
          <w:p w14:paraId="20ADA2B4"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散热系统</w:t>
            </w:r>
          </w:p>
        </w:tc>
        <w:tc>
          <w:tcPr>
            <w:tcW w:w="3889" w:type="pct"/>
            <w:shd w:val="clear" w:color="auto" w:fill="auto"/>
            <w:vAlign w:val="center"/>
          </w:tcPr>
          <w:p w14:paraId="40479EEB" w14:textId="77777777" w:rsidR="00E91DB7" w:rsidRPr="009875AA" w:rsidRDefault="00757997">
            <w:pPr>
              <w:widowControl/>
              <w:jc w:val="left"/>
              <w:textAlignment w:val="center"/>
              <w:rPr>
                <w:rFonts w:ascii="宋体" w:eastAsia="宋体" w:hAnsi="宋体" w:cs="宋体"/>
                <w:kern w:val="0"/>
                <w:sz w:val="24"/>
                <w:szCs w:val="24"/>
                <w:lang w:bidi="ar"/>
              </w:rPr>
            </w:pPr>
            <w:r w:rsidRPr="000B050A">
              <w:rPr>
                <w:rFonts w:ascii="宋体" w:eastAsia="宋体" w:hAnsi="宋体" w:cs="宋体" w:hint="eastAsia"/>
                <w:sz w:val="24"/>
                <w:szCs w:val="24"/>
              </w:rPr>
              <w:t>GPU辅助散热系统</w:t>
            </w:r>
          </w:p>
        </w:tc>
      </w:tr>
      <w:tr w:rsidR="000B050A" w:rsidRPr="009875AA" w14:paraId="37BCBD7F" w14:textId="77777777">
        <w:trPr>
          <w:trHeight w:val="478"/>
        </w:trPr>
        <w:tc>
          <w:tcPr>
            <w:tcW w:w="376" w:type="pct"/>
            <w:shd w:val="clear" w:color="auto" w:fill="auto"/>
            <w:noWrap/>
            <w:vAlign w:val="center"/>
          </w:tcPr>
          <w:p w14:paraId="587C1E15"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10</w:t>
            </w:r>
          </w:p>
        </w:tc>
        <w:tc>
          <w:tcPr>
            <w:tcW w:w="736" w:type="pct"/>
            <w:shd w:val="clear" w:color="auto" w:fill="auto"/>
            <w:noWrap/>
            <w:vAlign w:val="center"/>
          </w:tcPr>
          <w:p w14:paraId="2C9ADF07"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网络</w:t>
            </w:r>
          </w:p>
        </w:tc>
        <w:tc>
          <w:tcPr>
            <w:tcW w:w="3889" w:type="pct"/>
            <w:shd w:val="clear" w:color="auto" w:fill="auto"/>
            <w:vAlign w:val="center"/>
          </w:tcPr>
          <w:p w14:paraId="4C6AC963" w14:textId="77777777" w:rsidR="00E91DB7" w:rsidRPr="009875AA" w:rsidRDefault="00757997">
            <w:pPr>
              <w:widowControl/>
              <w:jc w:val="left"/>
              <w:textAlignment w:val="center"/>
              <w:rPr>
                <w:rFonts w:ascii="宋体" w:eastAsia="宋体" w:hAnsi="宋体" w:cs="宋体"/>
                <w:kern w:val="0"/>
                <w:sz w:val="24"/>
                <w:szCs w:val="24"/>
                <w:lang w:bidi="ar"/>
              </w:rPr>
            </w:pPr>
            <w:r w:rsidRPr="000B050A">
              <w:rPr>
                <w:rFonts w:ascii="宋体" w:eastAsia="宋体" w:hAnsi="宋体" w:cs="宋体" w:hint="eastAsia"/>
                <w:bCs/>
                <w:kern w:val="0"/>
                <w:sz w:val="24"/>
                <w:szCs w:val="24"/>
              </w:rPr>
              <w:t>配置后置≥2个千兆</w:t>
            </w:r>
            <w:r w:rsidRPr="009875AA">
              <w:rPr>
                <w:rFonts w:ascii="宋体" w:eastAsia="宋体" w:hAnsi="宋体" w:cs="宋体" w:hint="eastAsia"/>
                <w:bCs/>
                <w:kern w:val="0"/>
                <w:sz w:val="24"/>
                <w:szCs w:val="24"/>
              </w:rPr>
              <w:t>RJ45网口</w:t>
            </w:r>
          </w:p>
        </w:tc>
      </w:tr>
      <w:tr w:rsidR="000B050A" w:rsidRPr="009875AA" w14:paraId="5FC463AE" w14:textId="77777777">
        <w:trPr>
          <w:trHeight w:val="463"/>
        </w:trPr>
        <w:tc>
          <w:tcPr>
            <w:tcW w:w="376" w:type="pct"/>
            <w:shd w:val="clear" w:color="auto" w:fill="auto"/>
            <w:noWrap/>
            <w:vAlign w:val="center"/>
          </w:tcPr>
          <w:p w14:paraId="5EBE8581"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11</w:t>
            </w:r>
          </w:p>
        </w:tc>
        <w:tc>
          <w:tcPr>
            <w:tcW w:w="736" w:type="pct"/>
            <w:shd w:val="clear" w:color="auto" w:fill="auto"/>
            <w:noWrap/>
            <w:vAlign w:val="center"/>
          </w:tcPr>
          <w:p w14:paraId="4E1493EF" w14:textId="77777777" w:rsidR="00E91DB7" w:rsidRPr="009875AA" w:rsidRDefault="00757997">
            <w:pPr>
              <w:widowControl/>
              <w:jc w:val="left"/>
              <w:textAlignment w:val="center"/>
              <w:rPr>
                <w:rFonts w:ascii="宋体" w:eastAsia="宋体" w:hAnsi="宋体" w:cs="宋体"/>
                <w:sz w:val="24"/>
                <w:szCs w:val="24"/>
              </w:rPr>
            </w:pPr>
            <w:r w:rsidRPr="009875AA">
              <w:rPr>
                <w:rFonts w:ascii="宋体" w:eastAsia="宋体" w:hAnsi="宋体" w:cs="宋体" w:hint="eastAsia"/>
                <w:sz w:val="24"/>
                <w:szCs w:val="24"/>
              </w:rPr>
              <w:t>扩展性</w:t>
            </w:r>
          </w:p>
        </w:tc>
        <w:tc>
          <w:tcPr>
            <w:tcW w:w="3889" w:type="pct"/>
            <w:shd w:val="clear" w:color="auto" w:fill="auto"/>
            <w:vAlign w:val="center"/>
          </w:tcPr>
          <w:p w14:paraId="067C0B26" w14:textId="77777777" w:rsidR="00E91DB7" w:rsidRPr="009875AA" w:rsidRDefault="00757997">
            <w:pPr>
              <w:widowControl/>
              <w:jc w:val="left"/>
              <w:textAlignment w:val="center"/>
              <w:rPr>
                <w:rFonts w:ascii="宋体" w:eastAsia="宋体" w:hAnsi="宋体" w:cs="宋体"/>
                <w:kern w:val="0"/>
                <w:sz w:val="24"/>
                <w:szCs w:val="24"/>
                <w:lang w:bidi="ar"/>
              </w:rPr>
            </w:pPr>
            <w:r w:rsidRPr="000B050A">
              <w:rPr>
                <w:rFonts w:ascii="宋体" w:eastAsia="宋体" w:hAnsi="宋体" w:cs="宋体" w:hint="eastAsia"/>
                <w:bCs/>
                <w:kern w:val="0"/>
                <w:sz w:val="24"/>
                <w:szCs w:val="24"/>
              </w:rPr>
              <w:t>≥12个</w:t>
            </w:r>
            <w:r w:rsidRPr="009875AA">
              <w:rPr>
                <w:rFonts w:ascii="宋体" w:eastAsia="宋体" w:hAnsi="宋体" w:cs="宋体" w:hint="eastAsia"/>
                <w:bCs/>
                <w:kern w:val="0"/>
                <w:sz w:val="24"/>
                <w:szCs w:val="24"/>
              </w:rPr>
              <w:t>PCI-E 4.0×16速率（x16 英寸，</w:t>
            </w:r>
            <w:proofErr w:type="gramStart"/>
            <w:r w:rsidRPr="009875AA">
              <w:rPr>
                <w:rFonts w:ascii="宋体" w:eastAsia="宋体" w:hAnsi="宋体" w:cs="宋体" w:hint="eastAsia"/>
                <w:bCs/>
                <w:kern w:val="0"/>
                <w:sz w:val="24"/>
                <w:szCs w:val="24"/>
              </w:rPr>
              <w:t>双宽插槽</w:t>
            </w:r>
            <w:proofErr w:type="gramEnd"/>
            <w:r w:rsidRPr="009875AA">
              <w:rPr>
                <w:rFonts w:ascii="宋体" w:eastAsia="宋体" w:hAnsi="宋体" w:cs="宋体" w:hint="eastAsia"/>
                <w:bCs/>
                <w:kern w:val="0"/>
                <w:sz w:val="24"/>
                <w:szCs w:val="24"/>
              </w:rPr>
              <w:t>）最大支持10张专业图形卡或加速卡；≥1个OCP网卡插槽；</w:t>
            </w:r>
          </w:p>
        </w:tc>
      </w:tr>
      <w:tr w:rsidR="000B050A" w:rsidRPr="009875AA" w14:paraId="0BFC6A88" w14:textId="77777777">
        <w:trPr>
          <w:trHeight w:val="463"/>
        </w:trPr>
        <w:tc>
          <w:tcPr>
            <w:tcW w:w="376" w:type="pct"/>
            <w:shd w:val="clear" w:color="auto" w:fill="auto"/>
            <w:noWrap/>
            <w:vAlign w:val="center"/>
          </w:tcPr>
          <w:p w14:paraId="0C30F0DE"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12</w:t>
            </w:r>
          </w:p>
        </w:tc>
        <w:tc>
          <w:tcPr>
            <w:tcW w:w="736" w:type="pct"/>
            <w:shd w:val="clear" w:color="auto" w:fill="auto"/>
            <w:noWrap/>
            <w:vAlign w:val="center"/>
          </w:tcPr>
          <w:p w14:paraId="4C952248"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bCs/>
                <w:kern w:val="0"/>
                <w:sz w:val="24"/>
                <w:szCs w:val="24"/>
              </w:rPr>
              <w:t>管理功能</w:t>
            </w:r>
          </w:p>
        </w:tc>
        <w:tc>
          <w:tcPr>
            <w:tcW w:w="3889" w:type="pct"/>
            <w:shd w:val="clear" w:color="auto" w:fill="auto"/>
            <w:vAlign w:val="center"/>
          </w:tcPr>
          <w:p w14:paraId="1050EF63" w14:textId="77777777" w:rsidR="00E91DB7" w:rsidRPr="009875A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管理功能：支持IPMI2.0，对外提供</w:t>
            </w:r>
            <w:r w:rsidRPr="009875AA">
              <w:rPr>
                <w:rFonts w:ascii="宋体" w:eastAsia="宋体" w:hAnsi="宋体" w:cs="宋体" w:hint="eastAsia"/>
                <w:bCs/>
                <w:kern w:val="0"/>
                <w:sz w:val="24"/>
                <w:szCs w:val="24"/>
              </w:rPr>
              <w:t>1个100/1000 Mbps RJ45管理网口，集成</w:t>
            </w:r>
            <w:proofErr w:type="spellStart"/>
            <w:r w:rsidRPr="009875AA">
              <w:rPr>
                <w:rFonts w:ascii="宋体" w:eastAsia="宋体" w:hAnsi="宋体" w:cs="宋体" w:hint="eastAsia"/>
                <w:bCs/>
                <w:kern w:val="0"/>
                <w:sz w:val="24"/>
                <w:szCs w:val="24"/>
              </w:rPr>
              <w:t>iKVM</w:t>
            </w:r>
            <w:proofErr w:type="spellEnd"/>
            <w:r w:rsidRPr="009875AA">
              <w:rPr>
                <w:rFonts w:ascii="宋体" w:eastAsia="宋体" w:hAnsi="宋体" w:cs="宋体" w:hint="eastAsia"/>
                <w:bCs/>
                <w:kern w:val="0"/>
                <w:sz w:val="24"/>
                <w:szCs w:val="24"/>
              </w:rPr>
              <w:t>，支持远程管理；</w:t>
            </w:r>
          </w:p>
        </w:tc>
      </w:tr>
      <w:tr w:rsidR="000B050A" w:rsidRPr="009875AA" w14:paraId="5BD24C85" w14:textId="77777777">
        <w:trPr>
          <w:trHeight w:val="463"/>
        </w:trPr>
        <w:tc>
          <w:tcPr>
            <w:tcW w:w="376" w:type="pct"/>
            <w:shd w:val="clear" w:color="auto" w:fill="auto"/>
            <w:noWrap/>
            <w:vAlign w:val="center"/>
          </w:tcPr>
          <w:p w14:paraId="6D8F9468"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13</w:t>
            </w:r>
          </w:p>
        </w:tc>
        <w:tc>
          <w:tcPr>
            <w:tcW w:w="736" w:type="pct"/>
            <w:shd w:val="clear" w:color="auto" w:fill="auto"/>
            <w:noWrap/>
            <w:vAlign w:val="center"/>
          </w:tcPr>
          <w:p w14:paraId="383D520B" w14:textId="77777777" w:rsidR="00E91DB7" w:rsidRPr="009875AA" w:rsidRDefault="00757997">
            <w:pPr>
              <w:widowControl/>
              <w:jc w:val="left"/>
              <w:textAlignment w:val="center"/>
              <w:rPr>
                <w:rFonts w:ascii="宋体" w:eastAsia="宋体" w:hAnsi="宋体" w:cs="宋体"/>
                <w:sz w:val="24"/>
                <w:szCs w:val="24"/>
              </w:rPr>
            </w:pPr>
            <w:r w:rsidRPr="009875AA">
              <w:rPr>
                <w:rFonts w:ascii="宋体" w:eastAsia="宋体" w:hAnsi="宋体" w:cs="宋体" w:hint="eastAsia"/>
                <w:sz w:val="24"/>
                <w:szCs w:val="24"/>
              </w:rPr>
              <w:t>认证</w:t>
            </w:r>
          </w:p>
        </w:tc>
        <w:tc>
          <w:tcPr>
            <w:tcW w:w="3889" w:type="pct"/>
            <w:shd w:val="clear" w:color="auto" w:fill="auto"/>
            <w:vAlign w:val="center"/>
          </w:tcPr>
          <w:p w14:paraId="23813801" w14:textId="71C45E8C" w:rsidR="00E91DB7" w:rsidRPr="000B050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国内自主品牌服务器，提供最新IDC市场报告；认证：</w:t>
            </w:r>
            <w:r w:rsidRPr="009875AA">
              <w:rPr>
                <w:rFonts w:ascii="宋体" w:eastAsia="宋体" w:hAnsi="宋体" w:cs="宋体" w:hint="eastAsia"/>
                <w:bCs/>
                <w:kern w:val="0"/>
                <w:sz w:val="24"/>
                <w:szCs w:val="24"/>
              </w:rPr>
              <w:t>CCC、ISO/IEC 20000-1服务管理体系、ISO 24001:2016环境管理体系认证、ISO9001:2016质量管理体系认证、ISO27001信息安全证书、ISO50001能源安全证书、ISO45001职业健康安全管理体系认证、ISO28000供应链安全管理体系认证、ISO22301业务连续性管理体系认证、有害物质过程管理认证、中国环境标志产品认证、中国节能产品认证；</w:t>
            </w:r>
          </w:p>
        </w:tc>
      </w:tr>
      <w:tr w:rsidR="000B050A" w:rsidRPr="009875AA" w14:paraId="11C18244" w14:textId="77777777">
        <w:trPr>
          <w:trHeight w:val="463"/>
        </w:trPr>
        <w:tc>
          <w:tcPr>
            <w:tcW w:w="376" w:type="pct"/>
            <w:shd w:val="clear" w:color="auto" w:fill="auto"/>
            <w:noWrap/>
            <w:vAlign w:val="center"/>
          </w:tcPr>
          <w:p w14:paraId="2DCE7697"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14</w:t>
            </w:r>
          </w:p>
        </w:tc>
        <w:tc>
          <w:tcPr>
            <w:tcW w:w="736" w:type="pct"/>
            <w:shd w:val="clear" w:color="auto" w:fill="auto"/>
            <w:noWrap/>
            <w:vAlign w:val="center"/>
          </w:tcPr>
          <w:p w14:paraId="64A84463"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bCs/>
                <w:kern w:val="0"/>
                <w:sz w:val="24"/>
                <w:szCs w:val="24"/>
              </w:rPr>
              <w:t>▲</w:t>
            </w:r>
            <w:r w:rsidRPr="009875AA">
              <w:rPr>
                <w:rFonts w:ascii="宋体" w:eastAsia="宋体" w:hAnsi="宋体" w:cs="宋体" w:hint="eastAsia"/>
                <w:sz w:val="24"/>
                <w:szCs w:val="24"/>
              </w:rPr>
              <w:t>服务</w:t>
            </w:r>
          </w:p>
        </w:tc>
        <w:tc>
          <w:tcPr>
            <w:tcW w:w="3889" w:type="pct"/>
            <w:shd w:val="clear" w:color="auto" w:fill="auto"/>
            <w:vAlign w:val="center"/>
          </w:tcPr>
          <w:p w14:paraId="26547963" w14:textId="77777777" w:rsidR="00E91DB7" w:rsidRPr="009875A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原厂商5年保修及上门服务，原厂</w:t>
            </w:r>
            <w:r w:rsidRPr="009875AA">
              <w:rPr>
                <w:rFonts w:ascii="宋体" w:eastAsia="宋体" w:hAnsi="宋体" w:cs="宋体" w:hint="eastAsia"/>
                <w:bCs/>
                <w:kern w:val="0"/>
                <w:sz w:val="24"/>
                <w:szCs w:val="24"/>
              </w:rPr>
              <w:t>5年7*24小时电话支持服务，原厂5年问题部件下一个工作日内更换。</w:t>
            </w:r>
          </w:p>
        </w:tc>
      </w:tr>
      <w:tr w:rsidR="000B050A" w:rsidRPr="009875AA" w14:paraId="69D6E7C5" w14:textId="77777777">
        <w:trPr>
          <w:trHeight w:val="463"/>
        </w:trPr>
        <w:tc>
          <w:tcPr>
            <w:tcW w:w="376" w:type="pct"/>
            <w:shd w:val="clear" w:color="auto" w:fill="auto"/>
            <w:noWrap/>
            <w:vAlign w:val="center"/>
          </w:tcPr>
          <w:p w14:paraId="47AF2020"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15</w:t>
            </w:r>
          </w:p>
        </w:tc>
        <w:tc>
          <w:tcPr>
            <w:tcW w:w="736" w:type="pct"/>
            <w:shd w:val="clear" w:color="auto" w:fill="auto"/>
            <w:noWrap/>
            <w:vAlign w:val="center"/>
          </w:tcPr>
          <w:p w14:paraId="24705906" w14:textId="77777777" w:rsidR="00E91DB7" w:rsidRPr="009875AA" w:rsidRDefault="00757997">
            <w:pPr>
              <w:widowControl/>
              <w:jc w:val="left"/>
              <w:textAlignment w:val="center"/>
              <w:rPr>
                <w:rFonts w:ascii="宋体" w:eastAsia="宋体" w:hAnsi="宋体" w:cs="宋体"/>
                <w:sz w:val="24"/>
                <w:szCs w:val="24"/>
              </w:rPr>
            </w:pPr>
            <w:r w:rsidRPr="009875AA">
              <w:rPr>
                <w:rFonts w:ascii="宋体" w:eastAsia="宋体" w:hAnsi="宋体" w:cs="宋体" w:hint="eastAsia"/>
                <w:bCs/>
                <w:kern w:val="0"/>
                <w:sz w:val="24"/>
                <w:szCs w:val="24"/>
              </w:rPr>
              <w:t>兼容性认证</w:t>
            </w:r>
          </w:p>
        </w:tc>
        <w:tc>
          <w:tcPr>
            <w:tcW w:w="3889" w:type="pct"/>
            <w:shd w:val="clear" w:color="auto" w:fill="auto"/>
            <w:vAlign w:val="center"/>
          </w:tcPr>
          <w:p w14:paraId="0513F627" w14:textId="77777777" w:rsidR="00E91DB7" w:rsidRPr="000B050A" w:rsidRDefault="00757997">
            <w:pPr>
              <w:widowControl/>
              <w:jc w:val="left"/>
              <w:textAlignment w:val="center"/>
              <w:rPr>
                <w:rFonts w:ascii="宋体" w:eastAsia="宋体" w:hAnsi="宋体" w:cs="宋体"/>
                <w:bCs/>
                <w:kern w:val="0"/>
                <w:sz w:val="24"/>
                <w:szCs w:val="24"/>
              </w:rPr>
            </w:pPr>
            <w:r w:rsidRPr="009875AA">
              <w:rPr>
                <w:rFonts w:ascii="宋体" w:eastAsia="宋体" w:hAnsi="宋体" w:cs="宋体" w:hint="eastAsia"/>
                <w:bCs/>
                <w:kern w:val="0"/>
                <w:sz w:val="24"/>
                <w:szCs w:val="24"/>
              </w:rPr>
              <w:t>产品通过</w:t>
            </w:r>
            <w:proofErr w:type="gramStart"/>
            <w:r w:rsidRPr="009875AA">
              <w:rPr>
                <w:rFonts w:ascii="宋体" w:eastAsia="宋体" w:hAnsi="宋体" w:cs="宋体" w:hint="eastAsia"/>
                <w:bCs/>
                <w:kern w:val="0"/>
                <w:sz w:val="24"/>
                <w:szCs w:val="24"/>
              </w:rPr>
              <w:t>英伟达产品</w:t>
            </w:r>
            <w:proofErr w:type="gramEnd"/>
            <w:r w:rsidRPr="009875AA">
              <w:rPr>
                <w:rFonts w:ascii="宋体" w:eastAsia="宋体" w:hAnsi="宋体" w:cs="宋体" w:hint="eastAsia"/>
                <w:bCs/>
                <w:kern w:val="0"/>
                <w:sz w:val="24"/>
                <w:szCs w:val="24"/>
              </w:rPr>
              <w:t>官方认证，可在https://www.nvidia.com/en-us/data-center/data-center-gpus/qualified-system-catalog/</w:t>
            </w:r>
            <w:proofErr w:type="gramStart"/>
            <w:r w:rsidRPr="009875AA">
              <w:rPr>
                <w:rFonts w:ascii="宋体" w:eastAsia="宋体" w:hAnsi="宋体" w:cs="宋体" w:hint="eastAsia"/>
                <w:sz w:val="24"/>
                <w:szCs w:val="24"/>
              </w:rPr>
              <w:t>官网查询</w:t>
            </w:r>
            <w:proofErr w:type="gramEnd"/>
            <w:r w:rsidRPr="009875AA">
              <w:rPr>
                <w:rFonts w:ascii="宋体" w:eastAsia="宋体" w:hAnsi="宋体" w:cs="宋体" w:hint="eastAsia"/>
                <w:sz w:val="24"/>
                <w:szCs w:val="24"/>
              </w:rPr>
              <w:t>到并提供截图证明；</w:t>
            </w:r>
          </w:p>
        </w:tc>
      </w:tr>
      <w:tr w:rsidR="000B050A" w:rsidRPr="009875AA" w14:paraId="5A35692E" w14:textId="77777777">
        <w:trPr>
          <w:trHeight w:val="463"/>
        </w:trPr>
        <w:tc>
          <w:tcPr>
            <w:tcW w:w="376" w:type="pct"/>
            <w:shd w:val="clear" w:color="auto" w:fill="auto"/>
            <w:noWrap/>
            <w:vAlign w:val="center"/>
          </w:tcPr>
          <w:p w14:paraId="748653D8"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16</w:t>
            </w:r>
          </w:p>
        </w:tc>
        <w:tc>
          <w:tcPr>
            <w:tcW w:w="736" w:type="pct"/>
            <w:shd w:val="clear" w:color="auto" w:fill="auto"/>
            <w:noWrap/>
            <w:vAlign w:val="center"/>
          </w:tcPr>
          <w:p w14:paraId="604B7928" w14:textId="77777777" w:rsidR="00E91DB7" w:rsidRPr="009875AA" w:rsidRDefault="00757997">
            <w:pPr>
              <w:widowControl/>
              <w:jc w:val="left"/>
              <w:textAlignment w:val="center"/>
              <w:rPr>
                <w:rFonts w:ascii="宋体" w:eastAsia="宋体" w:hAnsi="宋体" w:cs="宋体"/>
                <w:bCs/>
                <w:kern w:val="0"/>
                <w:sz w:val="24"/>
                <w:szCs w:val="24"/>
              </w:rPr>
            </w:pPr>
            <w:r w:rsidRPr="009875AA">
              <w:rPr>
                <w:rFonts w:ascii="宋体" w:eastAsia="宋体" w:hAnsi="宋体" w:cs="宋体" w:hint="eastAsia"/>
                <w:sz w:val="24"/>
                <w:szCs w:val="24"/>
              </w:rPr>
              <w:t>可靠性测试认证</w:t>
            </w:r>
          </w:p>
        </w:tc>
        <w:tc>
          <w:tcPr>
            <w:tcW w:w="3889" w:type="pct"/>
            <w:shd w:val="clear" w:color="auto" w:fill="auto"/>
            <w:vAlign w:val="center"/>
          </w:tcPr>
          <w:p w14:paraId="4A73DEC1" w14:textId="77777777" w:rsidR="00E91DB7" w:rsidRPr="009875AA" w:rsidRDefault="00757997">
            <w:pPr>
              <w:widowControl/>
              <w:jc w:val="left"/>
              <w:textAlignment w:val="center"/>
              <w:rPr>
                <w:rFonts w:ascii="宋体" w:eastAsia="宋体" w:hAnsi="宋体" w:cs="宋体"/>
                <w:bCs/>
                <w:kern w:val="0"/>
                <w:sz w:val="24"/>
                <w:szCs w:val="24"/>
              </w:rPr>
            </w:pPr>
            <w:r w:rsidRPr="009875AA">
              <w:rPr>
                <w:rFonts w:ascii="宋体" w:eastAsia="宋体" w:hAnsi="宋体" w:cs="宋体" w:hint="eastAsia"/>
                <w:sz w:val="24"/>
                <w:szCs w:val="24"/>
              </w:rPr>
              <w:t>产品根据国家标准要求完成第三方权威检测机构检测项目：低温工作、高温工作、恒湿热、温度循环、包装碰撞、包装振动，并出具检测证书或报告扫描件；</w:t>
            </w:r>
          </w:p>
        </w:tc>
      </w:tr>
      <w:tr w:rsidR="000B050A" w:rsidRPr="009875AA" w14:paraId="27A17C53" w14:textId="77777777">
        <w:trPr>
          <w:trHeight w:val="463"/>
        </w:trPr>
        <w:tc>
          <w:tcPr>
            <w:tcW w:w="376" w:type="pct"/>
            <w:shd w:val="clear" w:color="auto" w:fill="auto"/>
            <w:noWrap/>
            <w:vAlign w:val="center"/>
          </w:tcPr>
          <w:p w14:paraId="4E10E619"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17</w:t>
            </w:r>
          </w:p>
        </w:tc>
        <w:tc>
          <w:tcPr>
            <w:tcW w:w="736" w:type="pct"/>
            <w:shd w:val="clear" w:color="auto" w:fill="auto"/>
            <w:noWrap/>
            <w:vAlign w:val="center"/>
          </w:tcPr>
          <w:p w14:paraId="7958257F" w14:textId="77777777" w:rsidR="00E91DB7" w:rsidRPr="009875A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生态认证</w:t>
            </w:r>
          </w:p>
        </w:tc>
        <w:tc>
          <w:tcPr>
            <w:tcW w:w="3889" w:type="pct"/>
            <w:shd w:val="clear" w:color="auto" w:fill="auto"/>
            <w:vAlign w:val="center"/>
          </w:tcPr>
          <w:p w14:paraId="45A35FDD" w14:textId="77777777" w:rsidR="00E91DB7" w:rsidRPr="009875AA" w:rsidRDefault="00757997">
            <w:pPr>
              <w:widowControl/>
              <w:spacing w:line="360" w:lineRule="auto"/>
              <w:jc w:val="left"/>
              <w:rPr>
                <w:rFonts w:ascii="宋体" w:eastAsia="宋体" w:hAnsi="宋体" w:cs="宋体"/>
                <w:bCs/>
                <w:kern w:val="0"/>
                <w:sz w:val="24"/>
                <w:szCs w:val="24"/>
              </w:rPr>
            </w:pPr>
            <w:r w:rsidRPr="000B050A">
              <w:rPr>
                <w:rFonts w:ascii="宋体" w:eastAsia="宋体" w:hAnsi="宋体" w:cs="宋体" w:hint="eastAsia"/>
                <w:bCs/>
                <w:kern w:val="0"/>
                <w:sz w:val="24"/>
                <w:szCs w:val="24"/>
              </w:rPr>
              <w:t>产品与银河麒麟服务器高级操作系统（AMD64版）</w:t>
            </w:r>
            <w:r w:rsidRPr="009875AA">
              <w:rPr>
                <w:rFonts w:ascii="宋体" w:eastAsia="宋体" w:hAnsi="宋体" w:cs="宋体" w:hint="eastAsia"/>
                <w:bCs/>
                <w:kern w:val="0"/>
                <w:sz w:val="24"/>
                <w:szCs w:val="24"/>
              </w:rPr>
              <w:t>V10完成兼容性，能够达成通用兼容性要求及性能、可靠性要求，满足用户的关键性应用需求，并提供具备麒麟软件</w:t>
            </w:r>
            <w:proofErr w:type="spellStart"/>
            <w:r w:rsidRPr="009875AA">
              <w:rPr>
                <w:rFonts w:ascii="宋体" w:eastAsia="宋体" w:hAnsi="宋体" w:cs="宋体" w:hint="eastAsia"/>
                <w:bCs/>
                <w:kern w:val="0"/>
                <w:sz w:val="24"/>
                <w:szCs w:val="24"/>
              </w:rPr>
              <w:t>NeoCertify</w:t>
            </w:r>
            <w:proofErr w:type="spellEnd"/>
            <w:r w:rsidRPr="009875AA">
              <w:rPr>
                <w:rFonts w:ascii="宋体" w:eastAsia="宋体" w:hAnsi="宋体" w:cs="宋体" w:hint="eastAsia"/>
                <w:bCs/>
                <w:kern w:val="0"/>
                <w:sz w:val="24"/>
                <w:szCs w:val="24"/>
              </w:rPr>
              <w:t>认证证书；</w:t>
            </w:r>
          </w:p>
        </w:tc>
      </w:tr>
      <w:tr w:rsidR="000B050A" w:rsidRPr="009875AA" w14:paraId="51C40999" w14:textId="77777777">
        <w:trPr>
          <w:trHeight w:val="463"/>
        </w:trPr>
        <w:tc>
          <w:tcPr>
            <w:tcW w:w="376" w:type="pct"/>
            <w:shd w:val="clear" w:color="auto" w:fill="auto"/>
            <w:noWrap/>
            <w:vAlign w:val="center"/>
          </w:tcPr>
          <w:p w14:paraId="792B4A39"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18</w:t>
            </w:r>
          </w:p>
        </w:tc>
        <w:tc>
          <w:tcPr>
            <w:tcW w:w="736" w:type="pct"/>
            <w:shd w:val="clear" w:color="auto" w:fill="auto"/>
            <w:noWrap/>
            <w:vAlign w:val="center"/>
          </w:tcPr>
          <w:p w14:paraId="0CCB7741" w14:textId="77777777" w:rsidR="00E91DB7" w:rsidRPr="000B050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完成统信软件产品互认证明</w:t>
            </w:r>
          </w:p>
        </w:tc>
        <w:tc>
          <w:tcPr>
            <w:tcW w:w="3889" w:type="pct"/>
            <w:shd w:val="clear" w:color="auto" w:fill="auto"/>
            <w:vAlign w:val="center"/>
          </w:tcPr>
          <w:p w14:paraId="74AAA68B" w14:textId="77777777" w:rsidR="00E91DB7" w:rsidRPr="000B050A" w:rsidRDefault="00757997">
            <w:pPr>
              <w:widowControl/>
              <w:spacing w:line="360" w:lineRule="auto"/>
              <w:jc w:val="left"/>
              <w:rPr>
                <w:rFonts w:ascii="宋体" w:eastAsia="宋体" w:hAnsi="宋体" w:cs="宋体"/>
                <w:bCs/>
                <w:kern w:val="0"/>
                <w:sz w:val="24"/>
                <w:szCs w:val="24"/>
              </w:rPr>
            </w:pPr>
            <w:r w:rsidRPr="009875AA">
              <w:rPr>
                <w:rFonts w:ascii="宋体" w:eastAsia="宋体" w:hAnsi="宋体" w:cs="宋体" w:hint="eastAsia"/>
                <w:bCs/>
                <w:kern w:val="0"/>
                <w:sz w:val="24"/>
                <w:szCs w:val="24"/>
              </w:rPr>
              <w:t>统信服务器操作系统V20在</w:t>
            </w:r>
            <w:proofErr w:type="gramStart"/>
            <w:r w:rsidRPr="009875AA">
              <w:rPr>
                <w:rFonts w:ascii="宋体" w:eastAsia="宋体" w:hAnsi="宋体" w:cs="宋体" w:hint="eastAsia"/>
                <w:bCs/>
                <w:kern w:val="0"/>
                <w:sz w:val="24"/>
                <w:szCs w:val="24"/>
              </w:rPr>
              <w:t>搭载第</w:t>
            </w:r>
            <w:proofErr w:type="gramEnd"/>
            <w:r w:rsidRPr="009875AA">
              <w:rPr>
                <w:rFonts w:ascii="宋体" w:eastAsia="宋体" w:hAnsi="宋体" w:cs="宋体" w:hint="eastAsia"/>
                <w:bCs/>
                <w:kern w:val="0"/>
                <w:sz w:val="24"/>
                <w:szCs w:val="24"/>
              </w:rPr>
              <w:t>三代英特尔®至强®可扩展处理器的宝德PR4910W产品上整体运行稳定，满足功能及兼容性测试要求；</w:t>
            </w:r>
            <w:r w:rsidRPr="009875AA">
              <w:rPr>
                <w:rFonts w:ascii="宋体" w:eastAsia="宋体" w:hAnsi="宋体" w:cs="宋体" w:hint="eastAsia"/>
                <w:bCs/>
                <w:sz w:val="24"/>
                <w:szCs w:val="24"/>
              </w:rPr>
              <w:t>（并提供认证证书）</w:t>
            </w:r>
          </w:p>
        </w:tc>
      </w:tr>
      <w:tr w:rsidR="000B050A" w:rsidRPr="009875AA" w14:paraId="16D0D34C" w14:textId="77777777">
        <w:trPr>
          <w:trHeight w:val="463"/>
        </w:trPr>
        <w:tc>
          <w:tcPr>
            <w:tcW w:w="376" w:type="pct"/>
            <w:shd w:val="clear" w:color="auto" w:fill="auto"/>
            <w:noWrap/>
            <w:vAlign w:val="center"/>
          </w:tcPr>
          <w:p w14:paraId="68B10A05"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19</w:t>
            </w:r>
          </w:p>
        </w:tc>
        <w:tc>
          <w:tcPr>
            <w:tcW w:w="736" w:type="pct"/>
            <w:shd w:val="clear" w:color="auto" w:fill="auto"/>
            <w:noWrap/>
            <w:vAlign w:val="center"/>
          </w:tcPr>
          <w:p w14:paraId="6ADA610B" w14:textId="77777777" w:rsidR="00E91DB7" w:rsidRPr="000B050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sz w:val="24"/>
                <w:szCs w:val="24"/>
              </w:rPr>
              <w:t>兼容适配认证</w:t>
            </w:r>
          </w:p>
        </w:tc>
        <w:tc>
          <w:tcPr>
            <w:tcW w:w="3889" w:type="pct"/>
            <w:shd w:val="clear" w:color="auto" w:fill="auto"/>
            <w:vAlign w:val="center"/>
          </w:tcPr>
          <w:p w14:paraId="56C9CD2B" w14:textId="77777777" w:rsidR="00E91DB7" w:rsidRPr="000B050A" w:rsidRDefault="00757997">
            <w:pPr>
              <w:widowControl/>
              <w:spacing w:line="360" w:lineRule="auto"/>
              <w:jc w:val="left"/>
              <w:rPr>
                <w:rFonts w:ascii="宋体" w:eastAsia="宋体" w:hAnsi="宋体" w:cs="宋体"/>
                <w:bCs/>
                <w:kern w:val="0"/>
                <w:sz w:val="24"/>
                <w:szCs w:val="24"/>
              </w:rPr>
            </w:pPr>
            <w:r w:rsidRPr="009875AA">
              <w:rPr>
                <w:rFonts w:ascii="宋体" w:eastAsia="宋体" w:hAnsi="宋体" w:cs="宋体" w:hint="eastAsia"/>
                <w:sz w:val="24"/>
                <w:szCs w:val="24"/>
              </w:rPr>
              <w:t>类</w:t>
            </w:r>
            <w:proofErr w:type="gramStart"/>
            <w:r w:rsidRPr="009875AA">
              <w:rPr>
                <w:rFonts w:ascii="宋体" w:eastAsia="宋体" w:hAnsi="宋体" w:cs="宋体" w:hint="eastAsia"/>
                <w:sz w:val="24"/>
                <w:szCs w:val="24"/>
              </w:rPr>
              <w:t>脑计算</w:t>
            </w:r>
            <w:proofErr w:type="gramEnd"/>
            <w:r w:rsidRPr="009875AA">
              <w:rPr>
                <w:rFonts w:ascii="宋体" w:eastAsia="宋体" w:hAnsi="宋体" w:cs="宋体" w:hint="eastAsia"/>
                <w:sz w:val="24"/>
                <w:szCs w:val="24"/>
              </w:rPr>
              <w:t>加速卡产品HP201完成兼容性适配认证，测试结果运行稳定，并提供具备兼容性适配认证证书；</w:t>
            </w:r>
          </w:p>
        </w:tc>
      </w:tr>
    </w:tbl>
    <w:p w14:paraId="6446DAEE" w14:textId="77777777" w:rsidR="00E91DB7" w:rsidRPr="009875AA" w:rsidRDefault="00757997">
      <w:pPr>
        <w:pStyle w:val="2"/>
        <w:numPr>
          <w:ilvl w:val="0"/>
          <w:numId w:val="1"/>
        </w:numPr>
        <w:spacing w:line="276" w:lineRule="auto"/>
        <w:rPr>
          <w:rFonts w:ascii="宋体" w:eastAsia="宋体" w:hAnsi="宋体" w:cs="宋体"/>
          <w:sz w:val="24"/>
          <w:szCs w:val="24"/>
        </w:rPr>
      </w:pPr>
      <w:r w:rsidRPr="009875AA">
        <w:rPr>
          <w:rFonts w:ascii="宋体" w:eastAsia="宋体" w:hAnsi="宋体" w:cs="宋体" w:hint="eastAsia"/>
          <w:sz w:val="24"/>
          <w:szCs w:val="24"/>
        </w:rPr>
        <w:t>售后服务要求</w:t>
      </w:r>
    </w:p>
    <w:p w14:paraId="0D49D1E1" w14:textId="77777777" w:rsidR="00E91DB7" w:rsidRPr="009875AA" w:rsidRDefault="00757997">
      <w:pPr>
        <w:pStyle w:val="af1"/>
        <w:numPr>
          <w:ilvl w:val="0"/>
          <w:numId w:val="2"/>
        </w:numPr>
        <w:spacing w:line="276" w:lineRule="auto"/>
        <w:ind w:firstLineChars="0"/>
        <w:rPr>
          <w:rFonts w:ascii="宋体" w:eastAsia="宋体" w:hAnsi="宋体" w:cs="宋体"/>
          <w:sz w:val="24"/>
          <w:szCs w:val="24"/>
        </w:rPr>
      </w:pPr>
      <w:r w:rsidRPr="009875AA">
        <w:rPr>
          <w:rFonts w:ascii="宋体" w:eastAsia="宋体" w:hAnsi="宋体" w:cs="宋体" w:hint="eastAsia"/>
          <w:sz w:val="24"/>
          <w:szCs w:val="24"/>
        </w:rPr>
        <w:t>免费维保</w:t>
      </w:r>
      <w:bookmarkEnd w:id="2"/>
      <w:bookmarkEnd w:id="3"/>
    </w:p>
    <w:p w14:paraId="64054A0D"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本项目应用系统从项目总体验收合格之日（从双方代表终验签字之日起计算）起，提供五年免费的上门质保服务。</w:t>
      </w:r>
      <w:bookmarkStart w:id="5" w:name="_Toc79607385"/>
      <w:bookmarkStart w:id="6" w:name="_Toc529108597"/>
    </w:p>
    <w:p w14:paraId="39F6C018" w14:textId="77777777" w:rsidR="00E91DB7" w:rsidRPr="009875AA" w:rsidRDefault="00757997">
      <w:pPr>
        <w:pStyle w:val="af1"/>
        <w:numPr>
          <w:ilvl w:val="0"/>
          <w:numId w:val="2"/>
        </w:numPr>
        <w:spacing w:line="276" w:lineRule="auto"/>
        <w:ind w:firstLineChars="0"/>
        <w:rPr>
          <w:rFonts w:ascii="宋体" w:eastAsia="宋体" w:hAnsi="宋体" w:cs="宋体"/>
          <w:sz w:val="24"/>
          <w:szCs w:val="24"/>
        </w:rPr>
      </w:pPr>
      <w:bookmarkStart w:id="7" w:name="_Toc79607386"/>
      <w:bookmarkStart w:id="8" w:name="_Toc529108598"/>
      <w:bookmarkEnd w:id="5"/>
      <w:bookmarkEnd w:id="6"/>
      <w:r w:rsidRPr="009875AA">
        <w:rPr>
          <w:rFonts w:ascii="宋体" w:eastAsia="宋体" w:hAnsi="宋体" w:cs="宋体" w:hint="eastAsia"/>
          <w:sz w:val="24"/>
          <w:szCs w:val="24"/>
        </w:rPr>
        <w:t>技术服务</w:t>
      </w:r>
      <w:bookmarkEnd w:id="7"/>
      <w:bookmarkEnd w:id="8"/>
    </w:p>
    <w:p w14:paraId="4A343DB9" w14:textId="77777777" w:rsidR="00E91DB7" w:rsidRPr="009875AA" w:rsidRDefault="00757997">
      <w:pPr>
        <w:spacing w:line="276" w:lineRule="auto"/>
        <w:rPr>
          <w:rFonts w:ascii="宋体" w:eastAsia="宋体" w:hAnsi="宋体" w:cs="宋体"/>
          <w:sz w:val="24"/>
          <w:szCs w:val="24"/>
        </w:rPr>
      </w:pPr>
      <w:r w:rsidRPr="009875AA">
        <w:rPr>
          <w:rFonts w:ascii="宋体" w:eastAsia="宋体" w:hAnsi="宋体" w:cs="宋体" w:hint="eastAsia"/>
          <w:sz w:val="24"/>
          <w:szCs w:val="24"/>
        </w:rPr>
        <w:lastRenderedPageBreak/>
        <w:t>（1）电话支持</w:t>
      </w:r>
    </w:p>
    <w:p w14:paraId="5130B65A"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提供对应用设备的运行、维护提供24小时的实时技术支持。以热线电话或Email、传真等方式随时回答用户各种技术问题并在24小时内提出解决方案。需提供7X24小时内的全天服务热线，我们将及时地为您解答。</w:t>
      </w:r>
    </w:p>
    <w:p w14:paraId="54D073DC" w14:textId="77777777" w:rsidR="00E91DB7" w:rsidRPr="009875AA" w:rsidRDefault="00757997">
      <w:pPr>
        <w:spacing w:line="276" w:lineRule="auto"/>
        <w:rPr>
          <w:rFonts w:ascii="宋体" w:eastAsia="宋体" w:hAnsi="宋体" w:cs="宋体"/>
          <w:sz w:val="24"/>
          <w:szCs w:val="24"/>
        </w:rPr>
      </w:pPr>
      <w:r w:rsidRPr="009875AA">
        <w:rPr>
          <w:rFonts w:ascii="宋体" w:eastAsia="宋体" w:hAnsi="宋体" w:cs="宋体" w:hint="eastAsia"/>
          <w:sz w:val="24"/>
          <w:szCs w:val="24"/>
        </w:rPr>
        <w:t>（2）远程技术支持</w:t>
      </w:r>
    </w:p>
    <w:p w14:paraId="5BF99E9B"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当设备出现故障，需提供7X24小时的远程技术服务。</w:t>
      </w:r>
    </w:p>
    <w:p w14:paraId="1246786D" w14:textId="77777777" w:rsidR="00E91DB7" w:rsidRPr="009875AA" w:rsidRDefault="00757997">
      <w:pPr>
        <w:spacing w:line="276" w:lineRule="auto"/>
        <w:rPr>
          <w:rFonts w:ascii="宋体" w:eastAsia="宋体" w:hAnsi="宋体" w:cs="宋体"/>
          <w:sz w:val="24"/>
          <w:szCs w:val="24"/>
        </w:rPr>
      </w:pPr>
      <w:r w:rsidRPr="009875AA">
        <w:rPr>
          <w:rFonts w:ascii="宋体" w:eastAsia="宋体" w:hAnsi="宋体" w:cs="宋体" w:hint="eastAsia"/>
          <w:sz w:val="24"/>
          <w:szCs w:val="24"/>
        </w:rPr>
        <w:t>（3）现场服务</w:t>
      </w:r>
    </w:p>
    <w:p w14:paraId="3486B874"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当系统运行环境出现严重故障，或因更换服务器等原因需要重新搭建系统时，通过</w:t>
      </w:r>
      <w:proofErr w:type="gramStart"/>
      <w:r w:rsidRPr="009875AA">
        <w:rPr>
          <w:rFonts w:ascii="宋体" w:eastAsia="宋体" w:hAnsi="宋体" w:cs="宋体" w:hint="eastAsia"/>
          <w:sz w:val="24"/>
          <w:szCs w:val="24"/>
        </w:rPr>
        <w:t>远程支持</w:t>
      </w:r>
      <w:proofErr w:type="gramEnd"/>
      <w:r w:rsidRPr="009875AA">
        <w:rPr>
          <w:rFonts w:ascii="宋体" w:eastAsia="宋体" w:hAnsi="宋体" w:cs="宋体" w:hint="eastAsia"/>
          <w:sz w:val="24"/>
          <w:szCs w:val="24"/>
        </w:rPr>
        <w:t>不能及时解决问题时，需要派技术支持人员赶赴现场，协助用户完成故障排除、升级或迁移操作，对系统进行完整性检查并跟踪运行。</w:t>
      </w:r>
    </w:p>
    <w:p w14:paraId="2F5EFF3A" w14:textId="77777777" w:rsidR="00E91DB7" w:rsidRPr="009875AA" w:rsidRDefault="00757997">
      <w:pPr>
        <w:spacing w:line="276" w:lineRule="auto"/>
        <w:rPr>
          <w:rFonts w:ascii="宋体" w:eastAsia="宋体" w:hAnsi="宋体" w:cs="宋体"/>
          <w:sz w:val="24"/>
          <w:szCs w:val="24"/>
        </w:rPr>
      </w:pPr>
      <w:bookmarkStart w:id="9" w:name="_Toc529108599"/>
      <w:r w:rsidRPr="009875AA">
        <w:rPr>
          <w:rFonts w:ascii="宋体" w:eastAsia="宋体" w:hAnsi="宋体" w:cs="宋体" w:hint="eastAsia"/>
          <w:sz w:val="24"/>
          <w:szCs w:val="24"/>
        </w:rPr>
        <w:t>（4）故障响应</w:t>
      </w:r>
      <w:bookmarkEnd w:id="9"/>
    </w:p>
    <w:p w14:paraId="6A7219AD"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7 x 24小时的实时故障响应。对于电话方式无法解决的问题或系统发生严重故障时，质保期内出现质量问题，需在接到通知后的4小时内给予响应，24小时内响应到场，48小时内完成维护（以上响应时间不含从出发到达甲方的路途时间），并承担维护的费用。</w:t>
      </w:r>
    </w:p>
    <w:p w14:paraId="364FF83C" w14:textId="77777777" w:rsidR="00E91DB7" w:rsidRPr="009875AA" w:rsidRDefault="00757997">
      <w:pPr>
        <w:pStyle w:val="af1"/>
        <w:numPr>
          <w:ilvl w:val="0"/>
          <w:numId w:val="2"/>
        </w:numPr>
        <w:spacing w:line="276" w:lineRule="auto"/>
        <w:ind w:firstLineChars="0"/>
        <w:rPr>
          <w:rFonts w:ascii="宋体" w:eastAsia="宋体" w:hAnsi="宋体" w:cs="宋体"/>
          <w:sz w:val="24"/>
          <w:szCs w:val="24"/>
        </w:rPr>
      </w:pPr>
      <w:bookmarkStart w:id="10" w:name="_Toc7997_WPSOffice_Level2"/>
      <w:bookmarkStart w:id="11" w:name="_Toc79607387"/>
      <w:bookmarkStart w:id="12" w:name="_Toc1827_WPSOffice_Level2"/>
      <w:bookmarkStart w:id="13" w:name="_Toc529108600"/>
      <w:r w:rsidRPr="009875AA">
        <w:rPr>
          <w:rFonts w:ascii="宋体" w:eastAsia="宋体" w:hAnsi="宋体" w:cs="宋体" w:hint="eastAsia"/>
          <w:sz w:val="24"/>
          <w:szCs w:val="24"/>
        </w:rPr>
        <w:t>定期跟踪</w:t>
      </w:r>
      <w:bookmarkEnd w:id="10"/>
      <w:bookmarkEnd w:id="11"/>
      <w:bookmarkEnd w:id="12"/>
      <w:bookmarkEnd w:id="13"/>
    </w:p>
    <w:p w14:paraId="34F2EF56"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项目验收完毕后，需定期电话、现场跟踪系统使用情况，听取意见和建议，及时分析系统存在的问题，并随时给予解决。必要时，需派遣技术人员去现场解决存在的问题。</w:t>
      </w:r>
    </w:p>
    <w:p w14:paraId="66D49267" w14:textId="77777777" w:rsidR="00E91DB7" w:rsidRPr="009875AA" w:rsidRDefault="00757997">
      <w:pPr>
        <w:pStyle w:val="af1"/>
        <w:numPr>
          <w:ilvl w:val="0"/>
          <w:numId w:val="2"/>
        </w:numPr>
        <w:spacing w:line="276" w:lineRule="auto"/>
        <w:ind w:firstLineChars="0"/>
        <w:rPr>
          <w:rFonts w:ascii="宋体" w:eastAsia="宋体" w:hAnsi="宋体" w:cs="宋体"/>
          <w:sz w:val="24"/>
          <w:szCs w:val="24"/>
        </w:rPr>
      </w:pPr>
      <w:bookmarkStart w:id="14" w:name="_Toc79607388"/>
      <w:bookmarkStart w:id="15" w:name="_Toc529108601"/>
      <w:bookmarkStart w:id="16" w:name="_Toc4581_WPSOffice_Level2"/>
      <w:bookmarkStart w:id="17" w:name="_Toc31176_WPSOffice_Level2"/>
      <w:r w:rsidRPr="009875AA">
        <w:rPr>
          <w:rFonts w:ascii="宋体" w:eastAsia="宋体" w:hAnsi="宋体" w:cs="宋体" w:hint="eastAsia"/>
          <w:sz w:val="24"/>
          <w:szCs w:val="24"/>
        </w:rPr>
        <w:t>系统升级</w:t>
      </w:r>
      <w:bookmarkEnd w:id="14"/>
      <w:bookmarkEnd w:id="15"/>
      <w:bookmarkEnd w:id="16"/>
      <w:bookmarkEnd w:id="17"/>
    </w:p>
    <w:p w14:paraId="0401634C"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提供定时或不定时巡检服务，做到有问题早发现早解决。并及时向用户通报系统软件升级情况，若用户需要对系统软件升级，需提供升级版本和相应的支持服务。</w:t>
      </w:r>
    </w:p>
    <w:p w14:paraId="444B00F9" w14:textId="77777777" w:rsidR="00E91DB7" w:rsidRPr="009875AA" w:rsidRDefault="00757997">
      <w:pPr>
        <w:pStyle w:val="af1"/>
        <w:numPr>
          <w:ilvl w:val="0"/>
          <w:numId w:val="2"/>
        </w:numPr>
        <w:spacing w:line="276" w:lineRule="auto"/>
        <w:ind w:firstLineChars="0"/>
        <w:rPr>
          <w:rFonts w:ascii="宋体" w:eastAsia="宋体" w:hAnsi="宋体" w:cs="宋体"/>
          <w:sz w:val="24"/>
          <w:szCs w:val="24"/>
        </w:rPr>
      </w:pPr>
      <w:r w:rsidRPr="009875AA">
        <w:rPr>
          <w:rFonts w:ascii="宋体" w:eastAsia="宋体" w:hAnsi="宋体" w:cs="宋体" w:hint="eastAsia"/>
          <w:sz w:val="24"/>
          <w:szCs w:val="24"/>
        </w:rPr>
        <w:t>系统安全</w:t>
      </w:r>
    </w:p>
    <w:p w14:paraId="0C712A4D"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必须配合需求方对该软件进行安全检测时发现的安全隐患进行限期修复，在等保测评中发现的系统漏洞、安全漏洞等做整改并安全加固。</w:t>
      </w:r>
    </w:p>
    <w:p w14:paraId="6C707747" w14:textId="77777777" w:rsidR="00E91DB7" w:rsidRPr="009875AA" w:rsidRDefault="00757997">
      <w:pPr>
        <w:pStyle w:val="2"/>
        <w:numPr>
          <w:ilvl w:val="0"/>
          <w:numId w:val="1"/>
        </w:numPr>
        <w:spacing w:line="276" w:lineRule="auto"/>
        <w:rPr>
          <w:rFonts w:ascii="宋体" w:eastAsia="宋体" w:hAnsi="宋体" w:cs="宋体"/>
          <w:sz w:val="24"/>
          <w:szCs w:val="24"/>
        </w:rPr>
      </w:pPr>
      <w:r w:rsidRPr="009875AA">
        <w:rPr>
          <w:rFonts w:ascii="宋体" w:eastAsia="宋体" w:hAnsi="宋体" w:cs="宋体" w:hint="eastAsia"/>
          <w:sz w:val="24"/>
          <w:szCs w:val="24"/>
        </w:rPr>
        <w:t>其它要求</w:t>
      </w:r>
    </w:p>
    <w:p w14:paraId="319CDE8C" w14:textId="77777777" w:rsidR="00E91DB7" w:rsidRPr="009875AA" w:rsidRDefault="00757997">
      <w:pPr>
        <w:rPr>
          <w:rFonts w:ascii="宋体" w:eastAsia="宋体" w:hAnsi="宋体" w:cs="宋体"/>
          <w:sz w:val="24"/>
          <w:szCs w:val="24"/>
        </w:rPr>
      </w:pPr>
      <w:r w:rsidRPr="009875AA">
        <w:rPr>
          <w:rFonts w:ascii="宋体" w:eastAsia="宋体" w:hAnsi="宋体" w:cs="宋体" w:hint="eastAsia"/>
          <w:sz w:val="24"/>
          <w:szCs w:val="24"/>
        </w:rPr>
        <w:t>付款以实际交付数量为准。</w:t>
      </w:r>
      <w:bookmarkEnd w:id="4"/>
    </w:p>
    <w:sectPr w:rsidR="00E91DB7" w:rsidRPr="009875A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9E12" w14:textId="77777777" w:rsidR="00EB33E2" w:rsidRDefault="00EB33E2">
      <w:r>
        <w:separator/>
      </w:r>
    </w:p>
  </w:endnote>
  <w:endnote w:type="continuationSeparator" w:id="0">
    <w:p w14:paraId="666B5788" w14:textId="77777777" w:rsidR="00EB33E2" w:rsidRDefault="00EB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8843"/>
    </w:sdtPr>
    <w:sdtEndPr/>
    <w:sdtContent>
      <w:sdt>
        <w:sdtPr>
          <w:id w:val="1728636285"/>
        </w:sdtPr>
        <w:sdtEndPr/>
        <w:sdtContent>
          <w:p w14:paraId="61559B5B" w14:textId="6A470A8D" w:rsidR="00E91DB7" w:rsidRDefault="00757997">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875AA">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875AA">
              <w:rPr>
                <w:b/>
                <w:bCs/>
                <w:noProof/>
              </w:rPr>
              <w:t>3</w:t>
            </w:r>
            <w:r>
              <w:rPr>
                <w:b/>
                <w:bCs/>
                <w:sz w:val="24"/>
                <w:szCs w:val="24"/>
              </w:rPr>
              <w:fldChar w:fldCharType="end"/>
            </w:r>
          </w:p>
        </w:sdtContent>
      </w:sdt>
    </w:sdtContent>
  </w:sdt>
  <w:p w14:paraId="2C35CE99" w14:textId="77777777" w:rsidR="00E91DB7" w:rsidRDefault="00E91DB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80430" w14:textId="77777777" w:rsidR="00EB33E2" w:rsidRDefault="00EB33E2">
      <w:r>
        <w:separator/>
      </w:r>
    </w:p>
  </w:footnote>
  <w:footnote w:type="continuationSeparator" w:id="0">
    <w:p w14:paraId="3A074CB7" w14:textId="77777777" w:rsidR="00EB33E2" w:rsidRDefault="00EB33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hMjYzMjM2ZGUzZWVmOWFhZDM1OTE0Y2QzN2U2YmEifQ=="/>
  </w:docVars>
  <w:rsids>
    <w:rsidRoot w:val="003D2B2E"/>
    <w:rsid w:val="000251D8"/>
    <w:rsid w:val="000329E3"/>
    <w:rsid w:val="00035ED7"/>
    <w:rsid w:val="00046722"/>
    <w:rsid w:val="000511E3"/>
    <w:rsid w:val="000A5240"/>
    <w:rsid w:val="000B050A"/>
    <w:rsid w:val="000C3335"/>
    <w:rsid w:val="00146F08"/>
    <w:rsid w:val="0016394D"/>
    <w:rsid w:val="00172A8B"/>
    <w:rsid w:val="001960A5"/>
    <w:rsid w:val="002114AD"/>
    <w:rsid w:val="00232777"/>
    <w:rsid w:val="00233AF6"/>
    <w:rsid w:val="0023505C"/>
    <w:rsid w:val="00254C6A"/>
    <w:rsid w:val="002578FB"/>
    <w:rsid w:val="00273CA3"/>
    <w:rsid w:val="00312083"/>
    <w:rsid w:val="003317B7"/>
    <w:rsid w:val="00364046"/>
    <w:rsid w:val="00395109"/>
    <w:rsid w:val="003D2AB7"/>
    <w:rsid w:val="003D2B2E"/>
    <w:rsid w:val="003E78D1"/>
    <w:rsid w:val="00420E57"/>
    <w:rsid w:val="00424765"/>
    <w:rsid w:val="0043586D"/>
    <w:rsid w:val="0043641A"/>
    <w:rsid w:val="00437CA3"/>
    <w:rsid w:val="004456E3"/>
    <w:rsid w:val="004C131A"/>
    <w:rsid w:val="004E201B"/>
    <w:rsid w:val="004F215C"/>
    <w:rsid w:val="00510165"/>
    <w:rsid w:val="00511D14"/>
    <w:rsid w:val="005531B4"/>
    <w:rsid w:val="00582499"/>
    <w:rsid w:val="005C1C52"/>
    <w:rsid w:val="005E0299"/>
    <w:rsid w:val="005E4C5C"/>
    <w:rsid w:val="00630E4B"/>
    <w:rsid w:val="00694F2A"/>
    <w:rsid w:val="006B5C90"/>
    <w:rsid w:val="006D363F"/>
    <w:rsid w:val="006F26C1"/>
    <w:rsid w:val="006F54BD"/>
    <w:rsid w:val="00714ADD"/>
    <w:rsid w:val="00747414"/>
    <w:rsid w:val="00757997"/>
    <w:rsid w:val="00776D29"/>
    <w:rsid w:val="007A43B9"/>
    <w:rsid w:val="007D08C7"/>
    <w:rsid w:val="007E25E8"/>
    <w:rsid w:val="00825C11"/>
    <w:rsid w:val="00826AB8"/>
    <w:rsid w:val="00834568"/>
    <w:rsid w:val="008354B5"/>
    <w:rsid w:val="00847042"/>
    <w:rsid w:val="00863B2B"/>
    <w:rsid w:val="00880697"/>
    <w:rsid w:val="0088367B"/>
    <w:rsid w:val="00892200"/>
    <w:rsid w:val="008F1688"/>
    <w:rsid w:val="009109F4"/>
    <w:rsid w:val="0091230E"/>
    <w:rsid w:val="00930A62"/>
    <w:rsid w:val="00931390"/>
    <w:rsid w:val="0096214C"/>
    <w:rsid w:val="00966121"/>
    <w:rsid w:val="009805BF"/>
    <w:rsid w:val="009875AA"/>
    <w:rsid w:val="009B0B45"/>
    <w:rsid w:val="009C0148"/>
    <w:rsid w:val="009D1CBE"/>
    <w:rsid w:val="009E6300"/>
    <w:rsid w:val="00A00E65"/>
    <w:rsid w:val="00A15C82"/>
    <w:rsid w:val="00A31E8E"/>
    <w:rsid w:val="00A42747"/>
    <w:rsid w:val="00A6383F"/>
    <w:rsid w:val="00A64819"/>
    <w:rsid w:val="00A93675"/>
    <w:rsid w:val="00AB7066"/>
    <w:rsid w:val="00B469B7"/>
    <w:rsid w:val="00B70090"/>
    <w:rsid w:val="00B74C84"/>
    <w:rsid w:val="00BE046E"/>
    <w:rsid w:val="00BE386B"/>
    <w:rsid w:val="00C55355"/>
    <w:rsid w:val="00C92AFB"/>
    <w:rsid w:val="00C945E9"/>
    <w:rsid w:val="00CC0FFE"/>
    <w:rsid w:val="00D00D7F"/>
    <w:rsid w:val="00DA62EA"/>
    <w:rsid w:val="00DB49EE"/>
    <w:rsid w:val="00DF3355"/>
    <w:rsid w:val="00DF7A46"/>
    <w:rsid w:val="00E776F7"/>
    <w:rsid w:val="00E91DB7"/>
    <w:rsid w:val="00E9520C"/>
    <w:rsid w:val="00EB33E2"/>
    <w:rsid w:val="00F2110C"/>
    <w:rsid w:val="00F46AC2"/>
    <w:rsid w:val="00F5165D"/>
    <w:rsid w:val="00F52778"/>
    <w:rsid w:val="00F92BC6"/>
    <w:rsid w:val="00FE21C7"/>
    <w:rsid w:val="00FF461F"/>
    <w:rsid w:val="088D02A5"/>
    <w:rsid w:val="20CD21B3"/>
    <w:rsid w:val="21190891"/>
    <w:rsid w:val="260D4251"/>
    <w:rsid w:val="38551610"/>
    <w:rsid w:val="3B427E5C"/>
    <w:rsid w:val="44EB7718"/>
    <w:rsid w:val="4A62606A"/>
    <w:rsid w:val="4DB72CE8"/>
    <w:rsid w:val="4F0B43AC"/>
    <w:rsid w:val="56211671"/>
    <w:rsid w:val="61257FAD"/>
    <w:rsid w:val="79C93839"/>
    <w:rsid w:val="7FCA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656A"/>
  <w15:docId w15:val="{2D580DB5-E9BE-4CAA-9754-2AFCB575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uiPriority w:val="99"/>
    <w:qFormat/>
    <w:pPr>
      <w:spacing w:after="120"/>
    </w:pPr>
    <w:rPr>
      <w:kern w:val="0"/>
    </w:rPr>
  </w:style>
  <w:style w:type="paragraph" w:styleId="21">
    <w:name w:val="Body Text 2"/>
    <w:basedOn w:val="a"/>
    <w:next w:val="a0"/>
    <w:qFormat/>
    <w:pPr>
      <w:suppressAutoHyphens/>
      <w:jc w:val="left"/>
    </w:pPr>
    <w:rPr>
      <w:color w:val="000000"/>
      <w:kern w:val="1"/>
      <w:sz w:val="28"/>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semiHidden/>
    <w:unhideWhenUsed/>
    <w:qFormat/>
    <w:rPr>
      <w:color w:val="0000FF"/>
      <w:u w:val="single"/>
    </w:rPr>
  </w:style>
  <w:style w:type="character" w:styleId="af0">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paragraph" w:styleId="af1">
    <w:name w:val="List Paragraph"/>
    <w:basedOn w:val="a"/>
    <w:uiPriority w:val="99"/>
    <w:qFormat/>
    <w:pPr>
      <w:ind w:firstLineChars="200" w:firstLine="420"/>
    </w:pPr>
  </w:style>
  <w:style w:type="paragraph" w:customStyle="1" w:styleId="11">
    <w:name w:val="列出段落1"/>
    <w:basedOn w:val="a"/>
    <w:uiPriority w:val="34"/>
    <w:qFormat/>
    <w:pPr>
      <w:ind w:firstLineChars="200" w:firstLine="420"/>
    </w:pPr>
  </w:style>
  <w:style w:type="character" w:customStyle="1" w:styleId="10">
    <w:name w:val="标题 1 字符"/>
    <w:basedOn w:val="a1"/>
    <w:link w:val="1"/>
    <w:uiPriority w:val="9"/>
    <w:qFormat/>
    <w:rPr>
      <w:rFonts w:asciiTheme="minorHAnsi" w:eastAsiaTheme="minorEastAsia" w:hAnsiTheme="minorHAnsi" w:cstheme="minorBidi"/>
      <w:b/>
      <w:bCs/>
      <w:kern w:val="44"/>
      <w:sz w:val="44"/>
      <w:szCs w:val="44"/>
    </w:rPr>
  </w:style>
  <w:style w:type="character" w:customStyle="1" w:styleId="a7">
    <w:name w:val="批注框文本 字符"/>
    <w:basedOn w:val="a1"/>
    <w:link w:val="a6"/>
    <w:uiPriority w:val="99"/>
    <w:semiHidden/>
    <w:qFormat/>
    <w:rPr>
      <w:rFonts w:asciiTheme="minorHAnsi" w:eastAsiaTheme="minorEastAsia" w:hAnsiTheme="minorHAnsi" w:cstheme="minorBidi"/>
      <w:kern w:val="2"/>
      <w:sz w:val="18"/>
      <w:szCs w:val="18"/>
    </w:r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5"/>
    <w:link w:val="ac"/>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Shinoa</dc:creator>
  <cp:lastModifiedBy>OU</cp:lastModifiedBy>
  <cp:revision>28</cp:revision>
  <cp:lastPrinted>2022-10-08T01:11:00Z</cp:lastPrinted>
  <dcterms:created xsi:type="dcterms:W3CDTF">2024-06-20T07:59:00Z</dcterms:created>
  <dcterms:modified xsi:type="dcterms:W3CDTF">2024-07-11T06:49:00Z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9D17373141374F49BA448EAD21BB7031_13</vt:lpwstr>
  </property>
</Properties>
</file>