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25183A" w:rsidRPr="00171661" w:rsidRDefault="0025183A" w:rsidP="0025183A">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体视显微镜镜头</w:t>
      </w:r>
    </w:p>
    <w:p w:rsidR="0025183A" w:rsidRPr="00171661" w:rsidRDefault="0025183A" w:rsidP="00A63170">
      <w:pPr>
        <w:numPr>
          <w:ilvl w:val="0"/>
          <w:numId w:val="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25183A" w:rsidRPr="00171661" w:rsidRDefault="0025183A" w:rsidP="00A63170">
      <w:pPr>
        <w:numPr>
          <w:ilvl w:val="0"/>
          <w:numId w:val="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Pr>
          <w:rFonts w:ascii="宋体" w:hAnsi="宋体" w:hint="eastAsia"/>
          <w:sz w:val="28"/>
          <w:szCs w:val="28"/>
        </w:rPr>
        <w:t>台</w:t>
      </w:r>
    </w:p>
    <w:p w:rsidR="0025183A" w:rsidRPr="00171661" w:rsidRDefault="0025183A" w:rsidP="00A63170">
      <w:pPr>
        <w:numPr>
          <w:ilvl w:val="0"/>
          <w:numId w:val="6"/>
        </w:numPr>
        <w:contextualSpacing/>
        <w:rPr>
          <w:rFonts w:ascii="宋体" w:hAnsi="宋体"/>
          <w:b/>
          <w:sz w:val="28"/>
          <w:szCs w:val="28"/>
        </w:rPr>
      </w:pPr>
      <w:r w:rsidRPr="00171661">
        <w:rPr>
          <w:rFonts w:ascii="宋体" w:hAnsi="宋体" w:hint="eastAsia"/>
          <w:b/>
          <w:sz w:val="28"/>
          <w:szCs w:val="28"/>
        </w:rPr>
        <w:t>技术要求</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cs="微软雅黑" w:hint="eastAsia"/>
          <w:color w:val="000000"/>
          <w:sz w:val="28"/>
          <w:szCs w:val="28"/>
        </w:rPr>
        <w:t>具备</w:t>
      </w:r>
      <w:r w:rsidRPr="00FE598C">
        <w:rPr>
          <w:rFonts w:ascii="宋体" w:hAnsi="宋体" w:hint="eastAsia"/>
          <w:sz w:val="28"/>
          <w:szCs w:val="28"/>
        </w:rPr>
        <w:t>兼容美国珀金埃尔默IVISLUMINA XRMS SERIES Ⅲ型小动物活体成像设备的相机、激光器、荧光通道等核心部件</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具备1-7X等连续变倍</w:t>
      </w:r>
      <w:r>
        <w:rPr>
          <w:rFonts w:ascii="宋体" w:hAnsi="宋体" w:hint="eastAsia"/>
          <w:sz w:val="28"/>
          <w:szCs w:val="28"/>
        </w:rPr>
        <w:t>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具备双物镜功能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整体透射率：≥70%</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具备实现与主系统宏观成像光路的快速切换功能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具备扩展出 400-1100nm等成像波段</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lastRenderedPageBreak/>
        <w:t>具备实现介观成像时三维生物样品的高清晰成像功能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具备多种探针在同一动物体内的共定位成像以及数据融合功能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具备手动对体视观察的样品区域进行灵活照明功能</w:t>
      </w:r>
    </w:p>
    <w:p w:rsidR="0025183A" w:rsidRPr="00FE598C" w:rsidRDefault="0025183A" w:rsidP="00A63170">
      <w:pPr>
        <w:pStyle w:val="a3"/>
        <w:numPr>
          <w:ilvl w:val="1"/>
          <w:numId w:val="6"/>
        </w:numPr>
        <w:spacing w:line="360" w:lineRule="auto"/>
        <w:ind w:firstLineChars="0"/>
        <w:contextualSpacing/>
        <w:rPr>
          <w:rFonts w:ascii="宋体" w:hAnsi="宋体"/>
          <w:sz w:val="28"/>
          <w:szCs w:val="28"/>
        </w:rPr>
      </w:pPr>
      <w:r w:rsidRPr="00FE598C">
        <w:rPr>
          <w:rFonts w:ascii="宋体" w:hAnsi="宋体" w:hint="eastAsia"/>
          <w:sz w:val="28"/>
          <w:szCs w:val="28"/>
        </w:rPr>
        <w:t>具备激发光路选择器</w:t>
      </w:r>
    </w:p>
    <w:p w:rsidR="0025183A" w:rsidRPr="00171661" w:rsidRDefault="0025183A" w:rsidP="00A63170">
      <w:pPr>
        <w:numPr>
          <w:ilvl w:val="0"/>
          <w:numId w:val="6"/>
        </w:numPr>
        <w:contextualSpacing/>
        <w:rPr>
          <w:rFonts w:ascii="宋体" w:hAnsi="宋体"/>
          <w:b/>
          <w:bCs/>
          <w:sz w:val="28"/>
          <w:szCs w:val="28"/>
        </w:rPr>
      </w:pPr>
      <w:r w:rsidRPr="00171661">
        <w:rPr>
          <w:rFonts w:ascii="宋体" w:hAnsi="宋体" w:hint="eastAsia"/>
          <w:b/>
          <w:bCs/>
          <w:sz w:val="28"/>
          <w:szCs w:val="28"/>
        </w:rPr>
        <w:t>参考配置要求</w:t>
      </w:r>
    </w:p>
    <w:p w:rsidR="0025183A" w:rsidRDefault="0025183A" w:rsidP="00A63170">
      <w:pPr>
        <w:pStyle w:val="a3"/>
        <w:numPr>
          <w:ilvl w:val="1"/>
          <w:numId w:val="6"/>
        </w:numPr>
        <w:ind w:firstLineChars="0"/>
        <w:contextualSpacing/>
        <w:rPr>
          <w:rFonts w:ascii="宋体" w:hAnsi="宋体" w:hint="eastAsia"/>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836719" w:rsidRDefault="00836719" w:rsidP="00836719">
      <w:pPr>
        <w:pStyle w:val="a3"/>
        <w:ind w:left="840" w:firstLineChars="0" w:firstLine="0"/>
        <w:contextualSpacing/>
        <w:rPr>
          <w:rFonts w:hint="eastAsia"/>
          <w:sz w:val="28"/>
          <w:szCs w:val="28"/>
        </w:rPr>
      </w:pPr>
    </w:p>
    <w:p w:rsidR="00836719" w:rsidRPr="00171661" w:rsidRDefault="00836719" w:rsidP="00836719">
      <w:pPr>
        <w:pStyle w:val="a3"/>
        <w:widowControl/>
        <w:numPr>
          <w:ilvl w:val="0"/>
          <w:numId w:val="1"/>
        </w:numPr>
        <w:ind w:left="426" w:firstLineChars="0"/>
        <w:rPr>
          <w:rFonts w:ascii="宋体" w:hAnsi="宋体" w:cs="宋体"/>
          <w:b/>
          <w:bCs/>
          <w:color w:val="000000"/>
          <w:kern w:val="0"/>
          <w:sz w:val="28"/>
          <w:szCs w:val="28"/>
        </w:rPr>
      </w:pPr>
      <w:r w:rsidRPr="00F305CF">
        <w:rPr>
          <w:rFonts w:ascii="宋体" w:hAnsi="宋体" w:cs="宋体" w:hint="eastAsia"/>
          <w:b/>
          <w:bCs/>
          <w:color w:val="000000"/>
          <w:kern w:val="0"/>
          <w:sz w:val="28"/>
          <w:szCs w:val="28"/>
        </w:rPr>
        <w:t>裂隙灯显微镜</w:t>
      </w:r>
    </w:p>
    <w:p w:rsidR="00836719" w:rsidRPr="00171661" w:rsidRDefault="00836719" w:rsidP="00836719">
      <w:pPr>
        <w:numPr>
          <w:ilvl w:val="0"/>
          <w:numId w:val="10"/>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836719" w:rsidRPr="00171661" w:rsidRDefault="00836719" w:rsidP="00836719">
      <w:pPr>
        <w:numPr>
          <w:ilvl w:val="0"/>
          <w:numId w:val="10"/>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Pr>
          <w:rFonts w:ascii="宋体" w:hAnsi="宋体" w:hint="eastAsia"/>
          <w:sz w:val="28"/>
          <w:szCs w:val="28"/>
        </w:rPr>
        <w:t>台</w:t>
      </w:r>
    </w:p>
    <w:p w:rsidR="00836719" w:rsidRPr="00171661" w:rsidRDefault="00836719" w:rsidP="00836719">
      <w:pPr>
        <w:numPr>
          <w:ilvl w:val="0"/>
          <w:numId w:val="10"/>
        </w:numPr>
        <w:contextualSpacing/>
        <w:rPr>
          <w:rFonts w:ascii="宋体" w:hAnsi="宋体"/>
          <w:b/>
          <w:sz w:val="28"/>
          <w:szCs w:val="28"/>
        </w:rPr>
      </w:pPr>
      <w:r w:rsidRPr="00171661">
        <w:rPr>
          <w:rFonts w:ascii="宋体" w:hAnsi="宋体" w:hint="eastAsia"/>
          <w:b/>
          <w:sz w:val="28"/>
          <w:szCs w:val="28"/>
        </w:rPr>
        <w:t>技术要求</w:t>
      </w:r>
    </w:p>
    <w:p w:rsidR="00836719" w:rsidRPr="00C70878" w:rsidRDefault="00836719" w:rsidP="00836719">
      <w:pPr>
        <w:pStyle w:val="a3"/>
        <w:numPr>
          <w:ilvl w:val="1"/>
          <w:numId w:val="10"/>
        </w:numPr>
        <w:spacing w:line="360" w:lineRule="auto"/>
        <w:ind w:firstLineChars="0"/>
        <w:contextualSpacing/>
        <w:rPr>
          <w:rFonts w:ascii="宋体" w:hAnsi="宋体"/>
          <w:sz w:val="28"/>
          <w:szCs w:val="28"/>
        </w:rPr>
      </w:pPr>
      <w:r w:rsidRPr="00C70878">
        <w:rPr>
          <w:rFonts w:ascii="宋体" w:hAnsi="宋体" w:hint="eastAsia"/>
          <w:sz w:val="28"/>
          <w:szCs w:val="28"/>
        </w:rPr>
        <w:t>显微镜</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接物镜</w:t>
      </w:r>
      <w:r w:rsidRPr="00C70878">
        <w:rPr>
          <w:rFonts w:ascii="宋体" w:hAnsi="宋体" w:cs="宋体" w:hint="eastAsia"/>
          <w:color w:val="000000"/>
          <w:sz w:val="28"/>
          <w:szCs w:val="28"/>
        </w:rPr>
        <w:t>：</w:t>
      </w:r>
      <w:r w:rsidRPr="00C70878">
        <w:rPr>
          <w:rFonts w:ascii="宋体" w:hAnsi="宋体" w:hint="eastAsia"/>
          <w:color w:val="000000"/>
          <w:sz w:val="28"/>
          <w:szCs w:val="28"/>
        </w:rPr>
        <w:t>f=125mm</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目镜</w:t>
      </w:r>
      <w:r w:rsidRPr="00C70878">
        <w:rPr>
          <w:rFonts w:ascii="宋体" w:hAnsi="宋体" w:cs="宋体" w:hint="eastAsia"/>
          <w:color w:val="000000"/>
          <w:sz w:val="28"/>
          <w:szCs w:val="28"/>
        </w:rPr>
        <w:t>：</w:t>
      </w:r>
      <w:r w:rsidRPr="00C70878">
        <w:rPr>
          <w:rFonts w:ascii="宋体" w:hAnsi="宋体" w:hint="eastAsia"/>
          <w:color w:val="000000"/>
          <w:sz w:val="28"/>
          <w:szCs w:val="28"/>
        </w:rPr>
        <w:t>12.5x</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屈光度调节：±8D</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放大倍数</w:t>
      </w:r>
      <w:r w:rsidRPr="00C70878">
        <w:rPr>
          <w:rFonts w:ascii="宋体" w:hAnsi="宋体" w:cs="宋体" w:hint="eastAsia"/>
          <w:color w:val="000000"/>
          <w:sz w:val="28"/>
          <w:szCs w:val="28"/>
        </w:rPr>
        <w:t>：</w:t>
      </w:r>
      <w:r w:rsidRPr="00C70878">
        <w:rPr>
          <w:rFonts w:ascii="宋体" w:hAnsi="宋体" w:hint="eastAsia"/>
          <w:color w:val="000000"/>
          <w:sz w:val="28"/>
          <w:szCs w:val="28"/>
        </w:rPr>
        <w:t>5x,8x,12.5x, 20x, 32x</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真实视野</w:t>
      </w:r>
      <w:r w:rsidRPr="00C70878">
        <w:rPr>
          <w:rFonts w:ascii="宋体" w:hAnsi="宋体" w:cs="宋体" w:hint="eastAsia"/>
          <w:color w:val="000000"/>
          <w:sz w:val="28"/>
          <w:szCs w:val="28"/>
        </w:rPr>
        <w:t>：</w:t>
      </w:r>
      <w:r w:rsidRPr="00C70878">
        <w:rPr>
          <w:rFonts w:ascii="宋体" w:hAnsi="宋体" w:hint="eastAsia"/>
          <w:color w:val="000000"/>
          <w:sz w:val="28"/>
          <w:szCs w:val="28"/>
        </w:rPr>
        <w:t>46mm</w:t>
      </w:r>
      <w:r w:rsidRPr="00C70878">
        <w:rPr>
          <w:rFonts w:ascii="宋体" w:hAnsi="宋体" w:cs="宋体" w:hint="eastAsia"/>
          <w:color w:val="000000"/>
          <w:sz w:val="28"/>
          <w:szCs w:val="28"/>
        </w:rPr>
        <w:t>，</w:t>
      </w:r>
      <w:r w:rsidRPr="00C70878">
        <w:rPr>
          <w:rFonts w:ascii="宋体" w:hAnsi="宋体" w:hint="eastAsia"/>
          <w:color w:val="000000"/>
          <w:sz w:val="28"/>
          <w:szCs w:val="28"/>
        </w:rPr>
        <w:t>29.5mm</w:t>
      </w:r>
      <w:r w:rsidRPr="00C70878">
        <w:rPr>
          <w:rFonts w:ascii="宋体" w:hAnsi="宋体" w:cs="宋体" w:hint="eastAsia"/>
          <w:color w:val="000000"/>
          <w:sz w:val="28"/>
          <w:szCs w:val="28"/>
        </w:rPr>
        <w:t>，</w:t>
      </w:r>
      <w:r w:rsidRPr="00C70878">
        <w:rPr>
          <w:rFonts w:ascii="宋体" w:hAnsi="宋体" w:hint="eastAsia"/>
          <w:color w:val="000000"/>
          <w:sz w:val="28"/>
          <w:szCs w:val="28"/>
        </w:rPr>
        <w:t>18.4mm</w:t>
      </w:r>
      <w:r w:rsidRPr="00C70878">
        <w:rPr>
          <w:rFonts w:ascii="宋体" w:hAnsi="宋体" w:cs="宋体" w:hint="eastAsia"/>
          <w:color w:val="000000"/>
          <w:sz w:val="28"/>
          <w:szCs w:val="28"/>
        </w:rPr>
        <w:t>，</w:t>
      </w:r>
      <w:r w:rsidRPr="00C70878">
        <w:rPr>
          <w:rFonts w:ascii="宋体" w:hAnsi="宋体" w:hint="eastAsia"/>
          <w:color w:val="000000"/>
          <w:sz w:val="28"/>
          <w:szCs w:val="28"/>
        </w:rPr>
        <w:t>11.5mm</w:t>
      </w:r>
      <w:r w:rsidRPr="00C70878">
        <w:rPr>
          <w:rFonts w:ascii="宋体" w:hAnsi="宋体" w:cs="宋体" w:hint="eastAsia"/>
          <w:color w:val="000000"/>
          <w:sz w:val="28"/>
          <w:szCs w:val="28"/>
        </w:rPr>
        <w:t>，</w:t>
      </w:r>
      <w:r w:rsidRPr="00C70878">
        <w:rPr>
          <w:rFonts w:ascii="宋体" w:hAnsi="宋体" w:hint="eastAsia"/>
          <w:color w:val="000000"/>
          <w:sz w:val="28"/>
          <w:szCs w:val="28"/>
        </w:rPr>
        <w:t>7.5mm</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瞳孔间调节</w:t>
      </w:r>
      <w:r w:rsidRPr="00C70878">
        <w:rPr>
          <w:rFonts w:ascii="宋体" w:hAnsi="宋体" w:cs="宋体" w:hint="eastAsia"/>
          <w:color w:val="000000"/>
          <w:sz w:val="28"/>
          <w:szCs w:val="28"/>
        </w:rPr>
        <w:t>：</w:t>
      </w:r>
      <w:r w:rsidRPr="00C70878">
        <w:rPr>
          <w:rFonts w:ascii="宋体" w:hAnsi="宋体" w:hint="eastAsia"/>
          <w:color w:val="000000"/>
          <w:sz w:val="28"/>
          <w:szCs w:val="28"/>
        </w:rPr>
        <w:t>50至75mm</w:t>
      </w:r>
      <w:r w:rsidRPr="00C70878">
        <w:rPr>
          <w:rFonts w:ascii="宋体" w:hAnsi="宋体" w:cs="宋体" w:hint="eastAsia"/>
          <w:color w:val="000000"/>
          <w:sz w:val="28"/>
          <w:szCs w:val="28"/>
        </w:rPr>
        <w:t>等</w:t>
      </w:r>
    </w:p>
    <w:p w:rsidR="00836719" w:rsidRPr="00C70878" w:rsidRDefault="00836719" w:rsidP="00836719">
      <w:pPr>
        <w:pStyle w:val="a3"/>
        <w:numPr>
          <w:ilvl w:val="1"/>
          <w:numId w:val="8"/>
        </w:numPr>
        <w:spacing w:line="360" w:lineRule="auto"/>
        <w:ind w:firstLineChars="0"/>
        <w:contextualSpacing/>
        <w:rPr>
          <w:rFonts w:ascii="宋体" w:hAnsi="宋体"/>
          <w:sz w:val="28"/>
          <w:szCs w:val="28"/>
        </w:rPr>
      </w:pPr>
      <w:r w:rsidRPr="00C70878">
        <w:rPr>
          <w:rFonts w:ascii="宋体" w:hAnsi="宋体" w:hint="eastAsia"/>
          <w:color w:val="000000"/>
          <w:sz w:val="28"/>
          <w:szCs w:val="28"/>
        </w:rPr>
        <w:t>立体角度：6°等</w:t>
      </w:r>
    </w:p>
    <w:p w:rsidR="00836719" w:rsidRPr="00C70878" w:rsidRDefault="00836719" w:rsidP="00836719">
      <w:pPr>
        <w:pStyle w:val="a3"/>
        <w:numPr>
          <w:ilvl w:val="1"/>
          <w:numId w:val="10"/>
        </w:numPr>
        <w:spacing w:line="360" w:lineRule="auto"/>
        <w:ind w:firstLineChars="0"/>
        <w:contextualSpacing/>
        <w:rPr>
          <w:rFonts w:ascii="宋体" w:hAnsi="宋体"/>
          <w:sz w:val="28"/>
          <w:szCs w:val="28"/>
        </w:rPr>
      </w:pPr>
      <w:r w:rsidRPr="00C70878">
        <w:rPr>
          <w:rFonts w:ascii="宋体" w:hAnsi="宋体" w:hint="eastAsia"/>
          <w:sz w:val="28"/>
          <w:szCs w:val="28"/>
        </w:rPr>
        <w:t>裂隙灯</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光源：6v20w卤素灯泡等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lastRenderedPageBreak/>
        <w:t>裂隙投射比例：1.16X</w:t>
      </w:r>
      <w:r w:rsidRPr="00C70878">
        <w:rPr>
          <w:rFonts w:ascii="宋体" w:hAnsi="宋体" w:cs="宋体" w:hint="eastAsia"/>
          <w:color w:val="000000"/>
          <w:sz w:val="28"/>
          <w:szCs w:val="28"/>
        </w:rPr>
        <w:t>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裂隙宽度：0至14mm连续可变等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裂隙长度：1.8至13mm连续可变等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最大裂隙长度：14mm</w:t>
      </w:r>
      <w:r w:rsidRPr="00C70878">
        <w:rPr>
          <w:rFonts w:ascii="宋体" w:hAnsi="宋体" w:cs="宋体" w:hint="eastAsia"/>
          <w:color w:val="000000"/>
          <w:sz w:val="28"/>
          <w:szCs w:val="28"/>
        </w:rPr>
        <w:t>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光圈直径</w:t>
      </w:r>
      <w:r w:rsidRPr="00C70878">
        <w:rPr>
          <w:rFonts w:ascii="宋体" w:hAnsi="宋体" w:cs="宋体" w:hint="eastAsia"/>
          <w:color w:val="000000"/>
          <w:sz w:val="28"/>
          <w:szCs w:val="28"/>
        </w:rPr>
        <w:t>：</w:t>
      </w:r>
      <w:r w:rsidRPr="00C70878">
        <w:rPr>
          <w:rFonts w:ascii="宋体" w:hAnsi="宋体" w:hint="eastAsia"/>
          <w:color w:val="000000"/>
          <w:sz w:val="28"/>
          <w:szCs w:val="28"/>
        </w:rPr>
        <w:t>14mm</w:t>
      </w:r>
      <w:r w:rsidRPr="00C70878">
        <w:rPr>
          <w:rFonts w:ascii="宋体" w:hAnsi="宋体" w:cs="宋体" w:hint="eastAsia"/>
          <w:color w:val="000000"/>
          <w:sz w:val="28"/>
          <w:szCs w:val="28"/>
        </w:rPr>
        <w:t>，</w:t>
      </w:r>
      <w:r w:rsidRPr="00C70878">
        <w:rPr>
          <w:rFonts w:ascii="宋体" w:hAnsi="宋体" w:hint="eastAsia"/>
          <w:color w:val="000000"/>
          <w:sz w:val="28"/>
          <w:szCs w:val="28"/>
        </w:rPr>
        <w:t>9mm</w:t>
      </w:r>
      <w:r w:rsidRPr="00C70878">
        <w:rPr>
          <w:rFonts w:ascii="宋体" w:hAnsi="宋体" w:cs="宋体" w:hint="eastAsia"/>
          <w:color w:val="000000"/>
          <w:sz w:val="28"/>
          <w:szCs w:val="28"/>
        </w:rPr>
        <w:t>，</w:t>
      </w:r>
      <w:r w:rsidRPr="00C70878">
        <w:rPr>
          <w:rFonts w:ascii="宋体" w:hAnsi="宋体" w:hint="eastAsia"/>
          <w:color w:val="000000"/>
          <w:sz w:val="28"/>
          <w:szCs w:val="28"/>
        </w:rPr>
        <w:t xml:space="preserve"> 5.5mm</w:t>
      </w:r>
      <w:r w:rsidRPr="00C70878">
        <w:rPr>
          <w:rFonts w:ascii="宋体" w:hAnsi="宋体" w:cs="宋体" w:hint="eastAsia"/>
          <w:color w:val="000000"/>
          <w:sz w:val="28"/>
          <w:szCs w:val="28"/>
        </w:rPr>
        <w:t>，</w:t>
      </w:r>
      <w:r w:rsidRPr="00C70878">
        <w:rPr>
          <w:rFonts w:ascii="宋体" w:hAnsi="宋体" w:hint="eastAsia"/>
          <w:color w:val="000000"/>
          <w:sz w:val="28"/>
          <w:szCs w:val="28"/>
        </w:rPr>
        <w:t>0.2mm</w:t>
      </w:r>
      <w:r w:rsidRPr="00C70878">
        <w:rPr>
          <w:rFonts w:ascii="宋体" w:hAnsi="宋体" w:cs="宋体" w:hint="eastAsia"/>
          <w:color w:val="000000"/>
          <w:sz w:val="28"/>
          <w:szCs w:val="28"/>
        </w:rPr>
        <w:t>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滤光片：蓝光等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裂隙旋转角度：±90°等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入射角度：0°水平等</w:t>
      </w:r>
    </w:p>
    <w:p w:rsidR="00836719" w:rsidRPr="00C70878" w:rsidRDefault="00836719" w:rsidP="00836719">
      <w:pPr>
        <w:pStyle w:val="a3"/>
        <w:numPr>
          <w:ilvl w:val="1"/>
          <w:numId w:val="9"/>
        </w:numPr>
        <w:spacing w:line="360" w:lineRule="auto"/>
        <w:ind w:firstLineChars="0"/>
        <w:contextualSpacing/>
        <w:rPr>
          <w:rFonts w:ascii="宋体" w:hAnsi="宋体"/>
          <w:sz w:val="28"/>
          <w:szCs w:val="28"/>
        </w:rPr>
      </w:pPr>
      <w:r w:rsidRPr="00C70878">
        <w:rPr>
          <w:rFonts w:ascii="宋体" w:hAnsi="宋体" w:hint="eastAsia"/>
          <w:color w:val="000000"/>
          <w:sz w:val="28"/>
          <w:szCs w:val="28"/>
        </w:rPr>
        <w:t>下颚托高度调节：76mm</w:t>
      </w:r>
      <w:r w:rsidRPr="00C70878">
        <w:rPr>
          <w:rFonts w:ascii="宋体" w:hAnsi="宋体" w:cs="宋体" w:hint="eastAsia"/>
          <w:color w:val="000000"/>
          <w:sz w:val="28"/>
          <w:szCs w:val="28"/>
        </w:rPr>
        <w:t>等</w:t>
      </w:r>
    </w:p>
    <w:p w:rsidR="00836719" w:rsidRPr="00171661" w:rsidRDefault="00836719" w:rsidP="00836719">
      <w:pPr>
        <w:numPr>
          <w:ilvl w:val="0"/>
          <w:numId w:val="10"/>
        </w:numPr>
        <w:contextualSpacing/>
        <w:rPr>
          <w:rFonts w:ascii="宋体" w:hAnsi="宋体"/>
          <w:b/>
          <w:bCs/>
          <w:sz w:val="28"/>
          <w:szCs w:val="28"/>
        </w:rPr>
      </w:pPr>
      <w:r w:rsidRPr="00171661">
        <w:rPr>
          <w:rFonts w:ascii="宋体" w:hAnsi="宋体" w:hint="eastAsia"/>
          <w:b/>
          <w:bCs/>
          <w:sz w:val="28"/>
          <w:szCs w:val="28"/>
        </w:rPr>
        <w:t>参考配置要求</w:t>
      </w:r>
    </w:p>
    <w:p w:rsidR="00836719" w:rsidRDefault="00836719" w:rsidP="00836719">
      <w:pPr>
        <w:pStyle w:val="a3"/>
        <w:numPr>
          <w:ilvl w:val="1"/>
          <w:numId w:val="10"/>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836719" w:rsidRPr="00836719" w:rsidRDefault="00836719" w:rsidP="00836719">
      <w:pPr>
        <w:contextualSpacing/>
        <w:rPr>
          <w:rFonts w:ascii="宋体" w:hAnsi="宋体"/>
          <w:bCs/>
          <w:color w:val="000000"/>
          <w:sz w:val="28"/>
          <w:szCs w:val="28"/>
        </w:rPr>
      </w:pPr>
    </w:p>
    <w:p w:rsidR="0025183A" w:rsidRDefault="0025183A" w:rsidP="0025183A">
      <w:pPr>
        <w:pStyle w:val="a3"/>
        <w:widowControl/>
        <w:numPr>
          <w:ilvl w:val="0"/>
          <w:numId w:val="1"/>
        </w:numPr>
        <w:ind w:left="426" w:firstLineChars="0"/>
        <w:rPr>
          <w:rFonts w:ascii="宋体" w:hAnsi="宋体" w:cs="宋体"/>
          <w:b/>
          <w:bCs/>
          <w:kern w:val="0"/>
          <w:sz w:val="28"/>
          <w:szCs w:val="28"/>
        </w:rPr>
      </w:pPr>
      <w:r w:rsidRPr="003C41B3">
        <w:rPr>
          <w:rFonts w:ascii="宋体" w:hAnsi="宋体" w:cs="宋体" w:hint="eastAsia"/>
          <w:b/>
          <w:bCs/>
          <w:kern w:val="0"/>
          <w:sz w:val="28"/>
          <w:szCs w:val="28"/>
        </w:rPr>
        <w:t>红宝石激光手术系统</w:t>
      </w:r>
      <w:r>
        <w:rPr>
          <w:rFonts w:ascii="宋体" w:hAnsi="宋体" w:cs="宋体" w:hint="eastAsia"/>
          <w:b/>
          <w:bCs/>
          <w:kern w:val="0"/>
          <w:sz w:val="28"/>
          <w:szCs w:val="28"/>
        </w:rPr>
        <w:t>保修</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品牌及型号：</w:t>
      </w:r>
      <w:r w:rsidRPr="003C41B3">
        <w:rPr>
          <w:rFonts w:ascii="宋体" w:hAnsi="宋体" w:cs="宋体"/>
          <w:sz w:val="28"/>
          <w:szCs w:val="28"/>
        </w:rPr>
        <w:t>法国Quantel SINON</w:t>
      </w:r>
      <w:r w:rsidRPr="00217F31">
        <w:rPr>
          <w:rFonts w:ascii="宋体" w:hAnsi="宋体" w:cs="宋体" w:hint="eastAsia"/>
          <w:sz w:val="28"/>
          <w:szCs w:val="28"/>
        </w:rPr>
        <w:t>型</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设备启用时间：20</w:t>
      </w:r>
      <w:r>
        <w:rPr>
          <w:rFonts w:ascii="宋体" w:hAnsi="宋体" w:cs="宋体" w:hint="eastAsia"/>
          <w:sz w:val="28"/>
          <w:szCs w:val="28"/>
        </w:rPr>
        <w:t>16</w:t>
      </w:r>
      <w:r w:rsidRPr="00217F31">
        <w:rPr>
          <w:rFonts w:ascii="宋体" w:hAnsi="宋体" w:cs="宋体" w:hint="eastAsia"/>
          <w:sz w:val="28"/>
          <w:szCs w:val="28"/>
        </w:rPr>
        <w:t>年</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保修类别：整机全保</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保修年限：</w:t>
      </w:r>
      <w:r>
        <w:rPr>
          <w:rFonts w:ascii="宋体" w:hAnsi="宋体" w:cs="宋体" w:hint="eastAsia"/>
          <w:sz w:val="28"/>
          <w:szCs w:val="28"/>
        </w:rPr>
        <w:t>3</w:t>
      </w:r>
      <w:r w:rsidRPr="00217F31">
        <w:rPr>
          <w:rFonts w:ascii="宋体" w:hAnsi="宋体" w:cs="宋体" w:hint="eastAsia"/>
          <w:sz w:val="28"/>
          <w:szCs w:val="28"/>
        </w:rPr>
        <w:t>年。</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响应时间：≤2小时。</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开机率：≥95%。</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设备定期检查保养，提供至少1次免费校准及报告。</w:t>
      </w:r>
    </w:p>
    <w:p w:rsidR="0025183A" w:rsidRPr="00217F31" w:rsidRDefault="0025183A" w:rsidP="00A63170">
      <w:pPr>
        <w:widowControl/>
        <w:numPr>
          <w:ilvl w:val="0"/>
          <w:numId w:val="4"/>
        </w:numPr>
        <w:spacing w:line="480" w:lineRule="auto"/>
        <w:jc w:val="left"/>
        <w:rPr>
          <w:rFonts w:ascii="宋体" w:hAnsi="宋体" w:cs="宋体"/>
          <w:sz w:val="28"/>
          <w:szCs w:val="28"/>
        </w:rPr>
      </w:pPr>
      <w:r w:rsidRPr="00217F31">
        <w:rPr>
          <w:rFonts w:ascii="宋体" w:hAnsi="宋体" w:cs="宋体" w:hint="eastAsia"/>
          <w:sz w:val="28"/>
          <w:szCs w:val="28"/>
        </w:rPr>
        <w:t>远程维修服务：具备通过电话、网络等手段提供技术支持。</w:t>
      </w:r>
    </w:p>
    <w:p w:rsidR="0025183A" w:rsidRPr="00217F31" w:rsidRDefault="0025183A" w:rsidP="00A63170">
      <w:pPr>
        <w:numPr>
          <w:ilvl w:val="0"/>
          <w:numId w:val="4"/>
        </w:numPr>
        <w:spacing w:line="480" w:lineRule="auto"/>
        <w:rPr>
          <w:rFonts w:ascii="宋体" w:hAnsi="宋体" w:cs="宋体"/>
          <w:sz w:val="28"/>
          <w:szCs w:val="28"/>
        </w:rPr>
      </w:pPr>
      <w:r w:rsidRPr="00217F31">
        <w:rPr>
          <w:rFonts w:ascii="宋体" w:hAnsi="宋体" w:cs="宋体" w:hint="eastAsia"/>
          <w:sz w:val="28"/>
          <w:szCs w:val="28"/>
        </w:rPr>
        <w:t>提供每年的详细服务报告。</w:t>
      </w:r>
    </w:p>
    <w:p w:rsidR="0025183A" w:rsidRDefault="0025183A" w:rsidP="0025183A">
      <w:pPr>
        <w:pStyle w:val="a3"/>
        <w:widowControl/>
        <w:numPr>
          <w:ilvl w:val="0"/>
          <w:numId w:val="1"/>
        </w:numPr>
        <w:ind w:left="426" w:firstLineChars="0"/>
        <w:rPr>
          <w:rFonts w:ascii="宋体" w:hAnsi="宋体" w:cs="宋体"/>
          <w:b/>
          <w:bCs/>
          <w:kern w:val="0"/>
          <w:sz w:val="28"/>
          <w:szCs w:val="28"/>
        </w:rPr>
      </w:pPr>
      <w:r w:rsidRPr="002665C4">
        <w:rPr>
          <w:rFonts w:ascii="宋体" w:hAnsi="宋体" w:cs="宋体" w:hint="eastAsia"/>
          <w:b/>
          <w:bCs/>
          <w:kern w:val="0"/>
          <w:sz w:val="28"/>
          <w:szCs w:val="28"/>
        </w:rPr>
        <w:lastRenderedPageBreak/>
        <w:t>激光治疗仪</w:t>
      </w:r>
      <w:r>
        <w:rPr>
          <w:rFonts w:ascii="宋体" w:hAnsi="宋体" w:cs="宋体" w:hint="eastAsia"/>
          <w:b/>
          <w:bCs/>
          <w:kern w:val="0"/>
          <w:sz w:val="28"/>
          <w:szCs w:val="28"/>
        </w:rPr>
        <w:t>保修</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品牌及型号：</w:t>
      </w:r>
      <w:r>
        <w:rPr>
          <w:rFonts w:ascii="宋体" w:hAnsi="宋体" w:cs="宋体" w:hint="eastAsia"/>
          <w:sz w:val="28"/>
          <w:szCs w:val="28"/>
        </w:rPr>
        <w:t>以色列科医人</w:t>
      </w:r>
      <w:r w:rsidRPr="002665C4">
        <w:rPr>
          <w:rFonts w:ascii="宋体" w:hAnsi="宋体" w:cs="宋体"/>
          <w:sz w:val="28"/>
          <w:szCs w:val="28"/>
        </w:rPr>
        <w:t>ENCORE</w:t>
      </w:r>
      <w:r w:rsidRPr="00217F31">
        <w:rPr>
          <w:rFonts w:ascii="宋体" w:hAnsi="宋体" w:cs="宋体" w:hint="eastAsia"/>
          <w:sz w:val="28"/>
          <w:szCs w:val="28"/>
        </w:rPr>
        <w:t>型</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设备启用时间：20</w:t>
      </w:r>
      <w:r>
        <w:rPr>
          <w:rFonts w:ascii="宋体" w:hAnsi="宋体" w:cs="宋体" w:hint="eastAsia"/>
          <w:sz w:val="28"/>
          <w:szCs w:val="28"/>
        </w:rPr>
        <w:t>16</w:t>
      </w:r>
      <w:r w:rsidRPr="00217F31">
        <w:rPr>
          <w:rFonts w:ascii="宋体" w:hAnsi="宋体" w:cs="宋体" w:hint="eastAsia"/>
          <w:sz w:val="28"/>
          <w:szCs w:val="28"/>
        </w:rPr>
        <w:t>年</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保修类别：整机全保</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保修年限：</w:t>
      </w:r>
      <w:r>
        <w:rPr>
          <w:rFonts w:ascii="宋体" w:hAnsi="宋体" w:cs="宋体" w:hint="eastAsia"/>
          <w:sz w:val="28"/>
          <w:szCs w:val="28"/>
        </w:rPr>
        <w:t>3</w:t>
      </w:r>
      <w:r w:rsidRPr="00217F31">
        <w:rPr>
          <w:rFonts w:ascii="宋体" w:hAnsi="宋体" w:cs="宋体" w:hint="eastAsia"/>
          <w:sz w:val="28"/>
          <w:szCs w:val="28"/>
        </w:rPr>
        <w:t>年。</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响应时间：≤2小时。</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开机率：≥95%。</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设备定期检查保养，提供至少1次免费校准及报告。</w:t>
      </w:r>
    </w:p>
    <w:p w:rsidR="0025183A" w:rsidRPr="00217F31" w:rsidRDefault="0025183A" w:rsidP="00A63170">
      <w:pPr>
        <w:widowControl/>
        <w:numPr>
          <w:ilvl w:val="0"/>
          <w:numId w:val="7"/>
        </w:numPr>
        <w:spacing w:line="480" w:lineRule="auto"/>
        <w:jc w:val="left"/>
        <w:rPr>
          <w:rFonts w:ascii="宋体" w:hAnsi="宋体" w:cs="宋体"/>
          <w:sz w:val="28"/>
          <w:szCs w:val="28"/>
        </w:rPr>
      </w:pPr>
      <w:r w:rsidRPr="00217F31">
        <w:rPr>
          <w:rFonts w:ascii="宋体" w:hAnsi="宋体" w:cs="宋体" w:hint="eastAsia"/>
          <w:sz w:val="28"/>
          <w:szCs w:val="28"/>
        </w:rPr>
        <w:t>远程维修服务：具备通过电话、网络等手段提供技术支持。</w:t>
      </w:r>
    </w:p>
    <w:p w:rsidR="0025183A" w:rsidRPr="00217F31" w:rsidRDefault="0025183A" w:rsidP="00A63170">
      <w:pPr>
        <w:numPr>
          <w:ilvl w:val="0"/>
          <w:numId w:val="7"/>
        </w:numPr>
        <w:spacing w:line="480" w:lineRule="auto"/>
        <w:rPr>
          <w:rFonts w:ascii="宋体" w:hAnsi="宋体" w:cs="宋体"/>
          <w:sz w:val="28"/>
          <w:szCs w:val="28"/>
        </w:rPr>
      </w:pPr>
      <w:r w:rsidRPr="00217F31">
        <w:rPr>
          <w:rFonts w:ascii="宋体" w:hAnsi="宋体" w:cs="宋体" w:hint="eastAsia"/>
          <w:sz w:val="28"/>
          <w:szCs w:val="28"/>
        </w:rPr>
        <w:t>提供每年的详细服务报告。</w:t>
      </w:r>
    </w:p>
    <w:p w:rsidR="0025183A" w:rsidRDefault="0025183A" w:rsidP="0025183A"/>
    <w:p w:rsidR="0025183A" w:rsidRPr="00A70F4E" w:rsidRDefault="0025183A" w:rsidP="0025183A"/>
    <w:p w:rsidR="0025183A" w:rsidRPr="00A70F4E" w:rsidRDefault="0025183A" w:rsidP="0025183A">
      <w:pPr>
        <w:rPr>
          <w:rFonts w:ascii="宋体" w:hAnsi="宋体"/>
          <w:kern w:val="0"/>
          <w:sz w:val="28"/>
          <w:szCs w:val="28"/>
        </w:rPr>
      </w:pPr>
    </w:p>
    <w:p w:rsidR="00123514" w:rsidRPr="0025183A" w:rsidRDefault="00123514" w:rsidP="0025183A">
      <w:pPr>
        <w:widowControl/>
        <w:rPr>
          <w:rFonts w:ascii="宋体" w:hAnsi="宋体"/>
          <w:sz w:val="28"/>
          <w:szCs w:val="28"/>
        </w:rPr>
      </w:pPr>
    </w:p>
    <w:sectPr w:rsidR="00123514" w:rsidRPr="0025183A"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865" w:rsidRDefault="00C14865" w:rsidP="00B74AFF">
      <w:r>
        <w:separator/>
      </w:r>
    </w:p>
  </w:endnote>
  <w:endnote w:type="continuationSeparator" w:id="1">
    <w:p w:rsidR="00C14865" w:rsidRDefault="00C14865"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865" w:rsidRDefault="00C14865" w:rsidP="00B74AFF">
      <w:r>
        <w:separator/>
      </w:r>
    </w:p>
  </w:footnote>
  <w:footnote w:type="continuationSeparator" w:id="1">
    <w:p w:rsidR="00C14865" w:rsidRDefault="00C14865"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8"/>
  </w:num>
  <w:num w:numId="2">
    <w:abstractNumId w:val="4"/>
  </w:num>
  <w:num w:numId="3">
    <w:abstractNumId w:val="3"/>
  </w:num>
  <w:num w:numId="4">
    <w:abstractNumId w:val="0"/>
  </w:num>
  <w:num w:numId="5">
    <w:abstractNumId w:val="9"/>
  </w:num>
  <w:num w:numId="6">
    <w:abstractNumId w:val="2"/>
  </w:num>
  <w:num w:numId="7">
    <w:abstractNumId w:val="1"/>
  </w:num>
  <w:num w:numId="8">
    <w:abstractNumId w:val="6"/>
  </w:num>
  <w:num w:numId="9">
    <w:abstractNumId w:val="5"/>
  </w:num>
  <w:num w:numId="1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77267"/>
    <w:rsid w:val="002A1B32"/>
    <w:rsid w:val="002F15F8"/>
    <w:rsid w:val="003042A8"/>
    <w:rsid w:val="00324E81"/>
    <w:rsid w:val="00336EC6"/>
    <w:rsid w:val="00352908"/>
    <w:rsid w:val="003745F4"/>
    <w:rsid w:val="003B6FD1"/>
    <w:rsid w:val="003D40C7"/>
    <w:rsid w:val="00413B34"/>
    <w:rsid w:val="00455F3A"/>
    <w:rsid w:val="004562AA"/>
    <w:rsid w:val="00463862"/>
    <w:rsid w:val="0049106F"/>
    <w:rsid w:val="004A60D2"/>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365B"/>
    <w:rsid w:val="008917ED"/>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51709"/>
    <w:rsid w:val="00D528D2"/>
    <w:rsid w:val="00D5612A"/>
    <w:rsid w:val="00D74483"/>
    <w:rsid w:val="00DA3F78"/>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2024-09-12T01:12:00Z</dcterms:created>
  <dcterms:modified xsi:type="dcterms:W3CDTF">2024-09-12T01:12:00Z</dcterms:modified>
</cp:coreProperties>
</file>