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0C950">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黑体" w:hAnsi="黑体" w:eastAsia="黑体" w:cs="黑体"/>
          <w:spacing w:val="6"/>
          <w:sz w:val="44"/>
          <w:szCs w:val="44"/>
          <w:lang w:val="en-US" w:eastAsia="zh-CN"/>
        </w:rPr>
      </w:pPr>
      <w:r>
        <w:rPr>
          <w:rFonts w:hint="eastAsia" w:ascii="黑体" w:hAnsi="黑体" w:eastAsia="黑体" w:cs="黑体"/>
          <w:spacing w:val="6"/>
          <w:sz w:val="44"/>
          <w:szCs w:val="44"/>
          <w:lang w:val="en-US" w:eastAsia="zh-CN"/>
        </w:rPr>
        <w:t>广东省第二人民医院</w:t>
      </w:r>
    </w:p>
    <w:p w14:paraId="3143CCE7">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outlineLvl w:val="0"/>
        <w:rPr>
          <w:rFonts w:ascii="黑体" w:hAnsi="黑体" w:eastAsia="黑体" w:cs="黑体"/>
          <w:sz w:val="44"/>
          <w:szCs w:val="44"/>
          <w:lang w:eastAsia="zh-CN"/>
        </w:rPr>
      </w:pPr>
      <w:r>
        <w:rPr>
          <w:rFonts w:hint="eastAsia" w:ascii="黑体" w:hAnsi="黑体" w:eastAsia="黑体" w:cs="黑体"/>
          <w:spacing w:val="6"/>
          <w:sz w:val="44"/>
          <w:szCs w:val="44"/>
          <w:lang w:val="en-US" w:eastAsia="zh-CN"/>
        </w:rPr>
        <w:t>工程造价咨询(结算审核)服务</w:t>
      </w:r>
      <w:r>
        <w:rPr>
          <w:rFonts w:ascii="黑体" w:hAnsi="黑体" w:eastAsia="黑体" w:cs="黑体"/>
          <w:spacing w:val="6"/>
          <w:sz w:val="44"/>
          <w:szCs w:val="44"/>
          <w:lang w:eastAsia="zh-CN"/>
        </w:rPr>
        <w:t>用户需求书</w:t>
      </w:r>
    </w:p>
    <w:p w14:paraId="6A14244C">
      <w:pPr>
        <w:keepNext w:val="0"/>
        <w:keepLines w:val="0"/>
        <w:pageBreakBefore w:val="0"/>
        <w:widowControl w:val="0"/>
        <w:kinsoku w:val="0"/>
        <w:wordWrap/>
        <w:overflowPunct/>
        <w:topLinePunct w:val="0"/>
        <w:autoSpaceDE w:val="0"/>
        <w:autoSpaceDN w:val="0"/>
        <w:bidi w:val="0"/>
        <w:adjustRightInd w:val="0"/>
        <w:snapToGrid w:val="0"/>
        <w:spacing w:line="324" w:lineRule="auto"/>
        <w:textAlignment w:val="baseline"/>
        <w:rPr>
          <w:sz w:val="24"/>
          <w:szCs w:val="24"/>
          <w:lang w:eastAsia="zh-CN"/>
        </w:rPr>
      </w:pPr>
    </w:p>
    <w:p w14:paraId="17534589">
      <w:pPr>
        <w:pStyle w:val="2"/>
        <w:keepNext w:val="0"/>
        <w:keepLines w:val="0"/>
        <w:pageBreakBefore w:val="0"/>
        <w:widowControl w:val="0"/>
        <w:kinsoku w:val="0"/>
        <w:wordWrap/>
        <w:overflowPunct/>
        <w:topLinePunct w:val="0"/>
        <w:autoSpaceDE w:val="0"/>
        <w:autoSpaceDN w:val="0"/>
        <w:bidi w:val="0"/>
        <w:adjustRightInd w:val="0"/>
        <w:snapToGrid w:val="0"/>
        <w:spacing w:before="78" w:line="220" w:lineRule="auto"/>
        <w:ind w:left="506"/>
        <w:textAlignment w:val="baseline"/>
        <w:rPr>
          <w:lang w:eastAsia="zh-CN"/>
        </w:rPr>
      </w:pPr>
      <w:r>
        <w:rPr>
          <w:spacing w:val="-15"/>
          <w:lang w:eastAsia="zh-CN"/>
        </w:rPr>
        <w:t>说明：</w:t>
      </w:r>
    </w:p>
    <w:p w14:paraId="7DE21B22">
      <w:pPr>
        <w:pStyle w:val="2"/>
        <w:keepNext w:val="0"/>
        <w:keepLines w:val="0"/>
        <w:pageBreakBefore w:val="0"/>
        <w:widowControl w:val="0"/>
        <w:kinsoku w:val="0"/>
        <w:wordWrap/>
        <w:overflowPunct/>
        <w:topLinePunct w:val="0"/>
        <w:autoSpaceDE w:val="0"/>
        <w:autoSpaceDN w:val="0"/>
        <w:bidi w:val="0"/>
        <w:adjustRightInd w:val="0"/>
        <w:snapToGrid w:val="0"/>
        <w:spacing w:before="182" w:line="468" w:lineRule="exact"/>
        <w:ind w:left="521"/>
        <w:textAlignment w:val="baseline"/>
        <w:rPr>
          <w:lang w:eastAsia="zh-CN"/>
        </w:rPr>
      </w:pPr>
      <w:r>
        <w:rPr>
          <w:spacing w:val="-6"/>
          <w:position w:val="17"/>
          <w:lang w:eastAsia="zh-CN"/>
        </w:rPr>
        <w:t>1.投标人须对所投项目/包组进行整体响应，任何只对其中一部分内容进行</w:t>
      </w:r>
    </w:p>
    <w:p w14:paraId="6E896D88">
      <w:pPr>
        <w:pStyle w:val="2"/>
        <w:keepNext w:val="0"/>
        <w:keepLines w:val="0"/>
        <w:pageBreakBefore w:val="0"/>
        <w:widowControl w:val="0"/>
        <w:kinsoku w:val="0"/>
        <w:wordWrap/>
        <w:overflowPunct/>
        <w:topLinePunct w:val="0"/>
        <w:autoSpaceDE w:val="0"/>
        <w:autoSpaceDN w:val="0"/>
        <w:bidi w:val="0"/>
        <w:adjustRightInd w:val="0"/>
        <w:snapToGrid w:val="0"/>
        <w:spacing w:line="219" w:lineRule="auto"/>
        <w:ind w:left="43"/>
        <w:textAlignment w:val="baseline"/>
        <w:rPr>
          <w:lang w:eastAsia="zh-CN"/>
        </w:rPr>
      </w:pPr>
      <w:r>
        <w:rPr>
          <w:spacing w:val="-5"/>
          <w:lang w:eastAsia="zh-CN"/>
        </w:rPr>
        <w:t>的响应都被视为无效投标。</w:t>
      </w:r>
    </w:p>
    <w:p w14:paraId="0F6CDE4F">
      <w:pPr>
        <w:pStyle w:val="2"/>
        <w:keepNext w:val="0"/>
        <w:keepLines w:val="0"/>
        <w:pageBreakBefore w:val="0"/>
        <w:widowControl w:val="0"/>
        <w:kinsoku w:val="0"/>
        <w:wordWrap/>
        <w:overflowPunct/>
        <w:topLinePunct w:val="0"/>
        <w:autoSpaceDE w:val="0"/>
        <w:autoSpaceDN w:val="0"/>
        <w:bidi w:val="0"/>
        <w:adjustRightInd w:val="0"/>
        <w:snapToGrid w:val="0"/>
        <w:spacing w:before="182" w:line="468" w:lineRule="exact"/>
        <w:ind w:left="506"/>
        <w:textAlignment w:val="baseline"/>
        <w:rPr>
          <w:lang w:eastAsia="zh-CN"/>
        </w:rPr>
      </w:pPr>
      <w:r>
        <w:rPr>
          <w:spacing w:val="-11"/>
          <w:position w:val="17"/>
          <w:lang w:eastAsia="zh-CN"/>
        </w:rPr>
        <w:t>2.标有“★”的条款为实质性响应条款，投标人如有任何一条未完全响应，</w:t>
      </w:r>
    </w:p>
    <w:p w14:paraId="29C60840">
      <w:pPr>
        <w:pStyle w:val="2"/>
        <w:keepNext w:val="0"/>
        <w:keepLines w:val="0"/>
        <w:pageBreakBefore w:val="0"/>
        <w:widowControl w:val="0"/>
        <w:kinsoku w:val="0"/>
        <w:wordWrap/>
        <w:overflowPunct/>
        <w:topLinePunct w:val="0"/>
        <w:autoSpaceDE w:val="0"/>
        <w:autoSpaceDN w:val="0"/>
        <w:bidi w:val="0"/>
        <w:adjustRightInd w:val="0"/>
        <w:snapToGrid w:val="0"/>
        <w:spacing w:before="1" w:line="219" w:lineRule="auto"/>
        <w:ind w:left="28"/>
        <w:textAlignment w:val="baseline"/>
        <w:rPr>
          <w:lang w:eastAsia="zh-CN"/>
        </w:rPr>
      </w:pPr>
      <w:r>
        <w:rPr>
          <w:spacing w:val="-5"/>
          <w:lang w:eastAsia="zh-CN"/>
        </w:rPr>
        <w:t>则将导致其投标无效。</w:t>
      </w:r>
    </w:p>
    <w:p w14:paraId="5B4C52A9">
      <w:pPr>
        <w:pStyle w:val="2"/>
        <w:keepNext w:val="0"/>
        <w:keepLines w:val="0"/>
        <w:pageBreakBefore w:val="0"/>
        <w:widowControl w:val="0"/>
        <w:kinsoku w:val="0"/>
        <w:wordWrap/>
        <w:overflowPunct/>
        <w:topLinePunct w:val="0"/>
        <w:autoSpaceDE w:val="0"/>
        <w:autoSpaceDN w:val="0"/>
        <w:bidi w:val="0"/>
        <w:adjustRightInd w:val="0"/>
        <w:snapToGrid w:val="0"/>
        <w:spacing w:before="182" w:line="469" w:lineRule="exact"/>
        <w:ind w:left="508"/>
        <w:textAlignment w:val="baseline"/>
        <w:rPr>
          <w:lang w:eastAsia="zh-CN"/>
        </w:rPr>
      </w:pPr>
      <w:r>
        <w:rPr>
          <w:spacing w:val="-8"/>
          <w:position w:val="17"/>
          <w:lang w:eastAsia="zh-CN"/>
        </w:rPr>
        <w:t>3.标有“▲”标明的条款为重要技术参数或服务要求，但不作为投标无效条</w:t>
      </w:r>
    </w:p>
    <w:p w14:paraId="360BA5A8">
      <w:pPr>
        <w:pStyle w:val="2"/>
        <w:keepNext w:val="0"/>
        <w:keepLines w:val="0"/>
        <w:pageBreakBefore w:val="0"/>
        <w:widowControl w:val="0"/>
        <w:kinsoku w:val="0"/>
        <w:wordWrap/>
        <w:overflowPunct/>
        <w:topLinePunct w:val="0"/>
        <w:autoSpaceDE w:val="0"/>
        <w:autoSpaceDN w:val="0"/>
        <w:bidi w:val="0"/>
        <w:adjustRightInd w:val="0"/>
        <w:snapToGrid w:val="0"/>
        <w:spacing w:before="1" w:line="220" w:lineRule="auto"/>
        <w:ind w:left="24"/>
        <w:textAlignment w:val="baseline"/>
      </w:pPr>
      <w:r>
        <w:rPr>
          <w:spacing w:val="-12"/>
        </w:rPr>
        <w:t>款。</w:t>
      </w:r>
    </w:p>
    <w:p w14:paraId="569A4DAD">
      <w:pPr>
        <w:pStyle w:val="2"/>
        <w:keepNext w:val="0"/>
        <w:keepLines w:val="0"/>
        <w:pageBreakBefore w:val="0"/>
        <w:widowControl w:val="0"/>
        <w:kinsoku w:val="0"/>
        <w:wordWrap/>
        <w:overflowPunct/>
        <w:topLinePunct w:val="0"/>
        <w:autoSpaceDE w:val="0"/>
        <w:autoSpaceDN w:val="0"/>
        <w:bidi w:val="0"/>
        <w:adjustRightInd w:val="0"/>
        <w:snapToGrid w:val="0"/>
        <w:spacing w:before="180" w:line="220" w:lineRule="auto"/>
        <w:ind w:left="510"/>
        <w:textAlignment w:val="baseline"/>
      </w:pPr>
      <w:r>
        <w:rPr>
          <w:spacing w:val="3"/>
        </w:rPr>
        <w:t>一、招标内容</w:t>
      </w:r>
    </w:p>
    <w:p w14:paraId="5AA4E4C7">
      <w:pPr>
        <w:keepNext w:val="0"/>
        <w:keepLines w:val="0"/>
        <w:pageBreakBefore w:val="0"/>
        <w:widowControl w:val="0"/>
        <w:kinsoku w:val="0"/>
        <w:wordWrap/>
        <w:overflowPunct/>
        <w:topLinePunct w:val="0"/>
        <w:autoSpaceDE w:val="0"/>
        <w:autoSpaceDN w:val="0"/>
        <w:bidi w:val="0"/>
        <w:adjustRightInd w:val="0"/>
        <w:snapToGrid w:val="0"/>
        <w:spacing w:line="70" w:lineRule="exact"/>
        <w:textAlignment w:val="baseline"/>
      </w:pPr>
    </w:p>
    <w:tbl>
      <w:tblPr>
        <w:tblStyle w:val="8"/>
        <w:tblW w:w="80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840"/>
        <w:gridCol w:w="851"/>
        <w:gridCol w:w="852"/>
        <w:gridCol w:w="958"/>
        <w:gridCol w:w="1365"/>
        <w:gridCol w:w="1155"/>
      </w:tblGrid>
      <w:tr w14:paraId="16D8B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98" w:type="dxa"/>
            <w:vAlign w:val="center"/>
          </w:tcPr>
          <w:p w14:paraId="2D18D70E">
            <w:pPr>
              <w:pStyle w:val="9"/>
              <w:keepNext w:val="0"/>
              <w:keepLines w:val="0"/>
              <w:pageBreakBefore w:val="0"/>
              <w:widowControl w:val="0"/>
              <w:kinsoku w:val="0"/>
              <w:wordWrap/>
              <w:overflowPunct/>
              <w:topLinePunct w:val="0"/>
              <w:autoSpaceDE w:val="0"/>
              <w:autoSpaceDN w:val="0"/>
              <w:bidi w:val="0"/>
              <w:adjustRightInd w:val="0"/>
              <w:snapToGrid w:val="0"/>
              <w:spacing w:line="220" w:lineRule="auto"/>
              <w:ind w:left="0" w:right="0"/>
              <w:jc w:val="center"/>
              <w:textAlignment w:val="baseline"/>
              <w:rPr>
                <w:rFonts w:hint="eastAsia" w:ascii="宋体" w:hAnsi="宋体" w:eastAsia="宋体" w:cs="宋体"/>
              </w:rPr>
            </w:pPr>
            <w:r>
              <w:rPr>
                <w:rFonts w:hint="eastAsia" w:ascii="宋体" w:hAnsi="宋体" w:eastAsia="宋体" w:cs="宋体"/>
                <w:spacing w:val="-6"/>
              </w:rPr>
              <w:t>包组号</w:t>
            </w:r>
          </w:p>
        </w:tc>
        <w:tc>
          <w:tcPr>
            <w:tcW w:w="1840" w:type="dxa"/>
            <w:vAlign w:val="center"/>
          </w:tcPr>
          <w:p w14:paraId="0818CC91">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jc w:val="center"/>
              <w:textAlignment w:val="baseline"/>
              <w:rPr>
                <w:rFonts w:hint="eastAsia" w:ascii="宋体" w:hAnsi="宋体" w:eastAsia="宋体" w:cs="宋体"/>
              </w:rPr>
            </w:pPr>
            <w:r>
              <w:rPr>
                <w:rFonts w:hint="eastAsia" w:ascii="宋体" w:hAnsi="宋体" w:eastAsia="宋体" w:cs="宋体"/>
                <w:spacing w:val="-5"/>
              </w:rPr>
              <w:t>包组内容</w:t>
            </w:r>
          </w:p>
        </w:tc>
        <w:tc>
          <w:tcPr>
            <w:tcW w:w="851" w:type="dxa"/>
            <w:vAlign w:val="center"/>
          </w:tcPr>
          <w:p w14:paraId="16A45142">
            <w:pPr>
              <w:pStyle w:val="9"/>
              <w:keepNext w:val="0"/>
              <w:keepLines w:val="0"/>
              <w:pageBreakBefore w:val="0"/>
              <w:widowControl w:val="0"/>
              <w:kinsoku w:val="0"/>
              <w:wordWrap/>
              <w:overflowPunct/>
              <w:topLinePunct w:val="0"/>
              <w:autoSpaceDE w:val="0"/>
              <w:autoSpaceDN w:val="0"/>
              <w:bidi w:val="0"/>
              <w:adjustRightInd w:val="0"/>
              <w:snapToGrid w:val="0"/>
              <w:spacing w:line="217" w:lineRule="auto"/>
              <w:ind w:left="0" w:right="0"/>
              <w:jc w:val="center"/>
              <w:textAlignment w:val="baseline"/>
              <w:rPr>
                <w:rFonts w:hint="eastAsia" w:ascii="宋体" w:hAnsi="宋体" w:eastAsia="宋体" w:cs="宋体"/>
              </w:rPr>
            </w:pPr>
            <w:r>
              <w:rPr>
                <w:rFonts w:hint="eastAsia" w:ascii="宋体" w:hAnsi="宋体" w:eastAsia="宋体" w:cs="宋体"/>
                <w:spacing w:val="-6"/>
              </w:rPr>
              <w:t>单位</w:t>
            </w:r>
          </w:p>
        </w:tc>
        <w:tc>
          <w:tcPr>
            <w:tcW w:w="852" w:type="dxa"/>
            <w:tcBorders>
              <w:right w:val="single" w:color="000000" w:sz="4" w:space="0"/>
            </w:tcBorders>
            <w:vAlign w:val="center"/>
          </w:tcPr>
          <w:p w14:paraId="2104A07F">
            <w:pPr>
              <w:pStyle w:val="9"/>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宋体" w:hAnsi="宋体" w:eastAsia="宋体" w:cs="宋体"/>
              </w:rPr>
            </w:pPr>
            <w:r>
              <w:rPr>
                <w:rFonts w:hint="eastAsia" w:ascii="宋体" w:hAnsi="宋体" w:eastAsia="宋体" w:cs="宋体"/>
                <w:spacing w:val="-4"/>
              </w:rPr>
              <w:t>数量</w:t>
            </w:r>
          </w:p>
        </w:tc>
        <w:tc>
          <w:tcPr>
            <w:tcW w:w="958" w:type="dxa"/>
            <w:tcBorders>
              <w:left w:val="single" w:color="000000" w:sz="4" w:space="0"/>
            </w:tcBorders>
            <w:vAlign w:val="center"/>
          </w:tcPr>
          <w:p w14:paraId="2F7F0654">
            <w:pPr>
              <w:pStyle w:val="9"/>
              <w:keepNext w:val="0"/>
              <w:keepLines w:val="0"/>
              <w:pageBreakBefore w:val="0"/>
              <w:widowControl w:val="0"/>
              <w:kinsoku w:val="0"/>
              <w:wordWrap/>
              <w:overflowPunct/>
              <w:topLinePunct w:val="0"/>
              <w:autoSpaceDE w:val="0"/>
              <w:autoSpaceDN w:val="0"/>
              <w:bidi w:val="0"/>
              <w:adjustRightInd w:val="0"/>
              <w:snapToGrid w:val="0"/>
              <w:spacing w:line="220" w:lineRule="auto"/>
              <w:ind w:left="0" w:right="0"/>
              <w:jc w:val="center"/>
              <w:textAlignment w:val="baseline"/>
              <w:rPr>
                <w:rFonts w:hint="eastAsia" w:ascii="宋体" w:hAnsi="宋体" w:eastAsia="宋体" w:cs="宋体"/>
              </w:rPr>
            </w:pPr>
            <w:r>
              <w:rPr>
                <w:rFonts w:hint="eastAsia" w:ascii="宋体" w:hAnsi="宋体" w:eastAsia="宋体" w:cs="宋体"/>
                <w:spacing w:val="-5"/>
              </w:rPr>
              <w:t>类型</w:t>
            </w:r>
          </w:p>
        </w:tc>
        <w:tc>
          <w:tcPr>
            <w:tcW w:w="1365" w:type="dxa"/>
            <w:vAlign w:val="center"/>
          </w:tcPr>
          <w:p w14:paraId="09135806">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jc w:val="center"/>
              <w:textAlignment w:val="baseline"/>
              <w:rPr>
                <w:rFonts w:hint="eastAsia" w:ascii="宋体" w:hAnsi="宋体" w:eastAsia="宋体" w:cs="宋体"/>
              </w:rPr>
            </w:pPr>
            <w:r>
              <w:rPr>
                <w:rFonts w:hint="eastAsia" w:ascii="宋体" w:hAnsi="宋体" w:eastAsia="宋体" w:cs="宋体"/>
                <w:spacing w:val="-3"/>
              </w:rPr>
              <w:t>服务期限</w:t>
            </w:r>
          </w:p>
        </w:tc>
        <w:tc>
          <w:tcPr>
            <w:tcW w:w="1155" w:type="dxa"/>
            <w:vAlign w:val="center"/>
          </w:tcPr>
          <w:p w14:paraId="10017822">
            <w:pPr>
              <w:pStyle w:val="9"/>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6"/>
              <w:jc w:val="center"/>
              <w:textAlignment w:val="baseline"/>
              <w:rPr>
                <w:rFonts w:hint="eastAsia" w:ascii="宋体" w:hAnsi="宋体" w:eastAsia="宋体" w:cs="宋体"/>
                <w:spacing w:val="-6"/>
              </w:rPr>
            </w:pPr>
            <w:r>
              <w:rPr>
                <w:rFonts w:hint="eastAsia" w:ascii="宋体" w:hAnsi="宋体" w:eastAsia="宋体" w:cs="宋体"/>
                <w:spacing w:val="-6"/>
              </w:rPr>
              <w:t>最高限价</w:t>
            </w:r>
          </w:p>
          <w:p w14:paraId="1F224719">
            <w:pPr>
              <w:pStyle w:val="9"/>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6"/>
              <w:jc w:val="center"/>
              <w:textAlignment w:val="baseline"/>
              <w:rPr>
                <w:rFonts w:hint="eastAsia" w:ascii="宋体" w:hAnsi="宋体" w:eastAsia="宋体" w:cs="宋体"/>
              </w:rPr>
            </w:pPr>
            <w:r>
              <w:rPr>
                <w:rFonts w:hint="eastAsia" w:ascii="宋体" w:hAnsi="宋体" w:eastAsia="宋体" w:cs="宋体"/>
                <w:spacing w:val="-6"/>
              </w:rPr>
              <w:t>（万元）</w:t>
            </w:r>
          </w:p>
        </w:tc>
      </w:tr>
      <w:tr w14:paraId="7B50E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998" w:type="dxa"/>
            <w:vAlign w:val="center"/>
          </w:tcPr>
          <w:p w14:paraId="0E7290F7">
            <w:pPr>
              <w:pStyle w:val="9"/>
              <w:keepNext w:val="0"/>
              <w:keepLines w:val="0"/>
              <w:pageBreakBefore w:val="0"/>
              <w:widowControl w:val="0"/>
              <w:kinsoku w:val="0"/>
              <w:wordWrap/>
              <w:overflowPunct/>
              <w:topLinePunct w:val="0"/>
              <w:autoSpaceDE w:val="0"/>
              <w:autoSpaceDN w:val="0"/>
              <w:bidi w:val="0"/>
              <w:adjustRightInd w:val="0"/>
              <w:snapToGrid w:val="0"/>
              <w:spacing w:line="227" w:lineRule="auto"/>
              <w:ind w:left="0"/>
              <w:jc w:val="center"/>
              <w:textAlignment w:val="baseline"/>
              <w:rPr>
                <w:rFonts w:hint="default" w:ascii="宋体" w:hAnsi="宋体" w:eastAsia="宋体" w:cs="宋体"/>
                <w:spacing w:val="-2"/>
                <w:highlight w:val="none"/>
                <w:lang w:val="en-US" w:eastAsia="zh-CN"/>
              </w:rPr>
            </w:pPr>
            <w:r>
              <w:rPr>
                <w:rFonts w:hint="eastAsia" w:ascii="宋体" w:hAnsi="宋体" w:eastAsia="宋体" w:cs="宋体"/>
                <w:spacing w:val="-2"/>
                <w:highlight w:val="none"/>
                <w:lang w:val="en-US" w:eastAsia="zh-CN"/>
              </w:rPr>
              <w:t>包组</w:t>
            </w:r>
          </w:p>
        </w:tc>
        <w:tc>
          <w:tcPr>
            <w:tcW w:w="1840" w:type="dxa"/>
            <w:vAlign w:val="center"/>
          </w:tcPr>
          <w:p w14:paraId="2903825F">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leftChars="0"/>
              <w:jc w:val="center"/>
              <w:textAlignment w:val="baseline"/>
              <w:rPr>
                <w:rFonts w:hint="eastAsia" w:ascii="宋体" w:hAnsi="宋体" w:eastAsia="宋体" w:cs="宋体"/>
                <w:spacing w:val="-3"/>
                <w:highlight w:val="none"/>
              </w:rPr>
            </w:pPr>
            <w:r>
              <w:rPr>
                <w:rFonts w:hint="eastAsia" w:ascii="宋体" w:hAnsi="宋体" w:eastAsia="宋体" w:cs="宋体"/>
                <w:spacing w:val="-3"/>
                <w:highlight w:val="none"/>
              </w:rPr>
              <w:t>工程造价咨询</w:t>
            </w:r>
          </w:p>
          <w:p w14:paraId="449ED69A">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leftChars="0"/>
              <w:jc w:val="center"/>
              <w:textAlignment w:val="baseline"/>
              <w:rPr>
                <w:rFonts w:hint="eastAsia" w:ascii="宋体" w:hAnsi="宋体" w:eastAsia="宋体" w:cs="宋体"/>
                <w:spacing w:val="-3"/>
                <w:highlight w:val="none"/>
              </w:rPr>
            </w:pPr>
            <w:r>
              <w:rPr>
                <w:rFonts w:hint="eastAsia" w:ascii="宋体" w:hAnsi="宋体" w:eastAsia="宋体" w:cs="宋体"/>
                <w:spacing w:val="-3"/>
                <w:highlight w:val="none"/>
                <w:lang w:eastAsia="zh-CN"/>
              </w:rPr>
              <w:t>（</w:t>
            </w:r>
            <w:r>
              <w:rPr>
                <w:rFonts w:hint="eastAsia" w:ascii="宋体" w:hAnsi="宋体" w:eastAsia="宋体" w:cs="宋体"/>
                <w:spacing w:val="-3"/>
                <w:highlight w:val="none"/>
                <w:lang w:val="en-US" w:eastAsia="zh-CN"/>
              </w:rPr>
              <w:t>结算</w:t>
            </w:r>
            <w:r>
              <w:rPr>
                <w:rFonts w:hint="eastAsia" w:ascii="宋体" w:hAnsi="宋体" w:eastAsia="宋体" w:cs="宋体"/>
                <w:spacing w:val="-3"/>
                <w:highlight w:val="none"/>
                <w:lang w:eastAsia="zh-CN"/>
              </w:rPr>
              <w:t>）</w:t>
            </w:r>
          </w:p>
        </w:tc>
        <w:tc>
          <w:tcPr>
            <w:tcW w:w="851" w:type="dxa"/>
            <w:shd w:val="clear" w:color="auto" w:fill="auto"/>
            <w:vAlign w:val="center"/>
          </w:tcPr>
          <w:p w14:paraId="1FEADC2A">
            <w:pPr>
              <w:pStyle w:val="9"/>
              <w:keepNext w:val="0"/>
              <w:keepLines w:val="0"/>
              <w:pageBreakBefore w:val="0"/>
              <w:widowControl w:val="0"/>
              <w:kinsoku w:val="0"/>
              <w:wordWrap/>
              <w:overflowPunct/>
              <w:topLinePunct w:val="0"/>
              <w:autoSpaceDE w:val="0"/>
              <w:autoSpaceDN w:val="0"/>
              <w:bidi w:val="0"/>
              <w:adjustRightInd w:val="0"/>
              <w:snapToGrid w:val="0"/>
              <w:spacing w:line="220" w:lineRule="auto"/>
              <w:ind w:left="0" w:leftChars="0"/>
              <w:jc w:val="center"/>
              <w:textAlignment w:val="baseline"/>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highlight w:val="none"/>
              </w:rPr>
              <w:t>项</w:t>
            </w:r>
          </w:p>
        </w:tc>
        <w:tc>
          <w:tcPr>
            <w:tcW w:w="852" w:type="dxa"/>
            <w:tcBorders>
              <w:right w:val="single" w:color="000000" w:sz="4" w:space="0"/>
            </w:tcBorders>
            <w:shd w:val="clear" w:color="auto" w:fill="auto"/>
            <w:vAlign w:val="center"/>
          </w:tcPr>
          <w:p w14:paraId="185A0C63">
            <w:pPr>
              <w:pStyle w:val="9"/>
              <w:keepNext w:val="0"/>
              <w:keepLines w:val="0"/>
              <w:pageBreakBefore w:val="0"/>
              <w:widowControl w:val="0"/>
              <w:kinsoku w:val="0"/>
              <w:wordWrap/>
              <w:overflowPunct/>
              <w:topLinePunct w:val="0"/>
              <w:autoSpaceDE w:val="0"/>
              <w:autoSpaceDN w:val="0"/>
              <w:bidi w:val="0"/>
              <w:adjustRightInd w:val="0"/>
              <w:snapToGrid w:val="0"/>
              <w:spacing w:line="179" w:lineRule="auto"/>
              <w:ind w:left="0" w:leftChars="0"/>
              <w:jc w:val="center"/>
              <w:textAlignment w:val="baseline"/>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highlight w:val="none"/>
              </w:rPr>
              <w:t>1</w:t>
            </w:r>
          </w:p>
        </w:tc>
        <w:tc>
          <w:tcPr>
            <w:tcW w:w="958" w:type="dxa"/>
            <w:tcBorders>
              <w:left w:val="single" w:color="000000" w:sz="4" w:space="0"/>
            </w:tcBorders>
            <w:shd w:val="clear" w:color="auto" w:fill="auto"/>
            <w:vAlign w:val="center"/>
          </w:tcPr>
          <w:p w14:paraId="27D966E5">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leftChars="0"/>
              <w:jc w:val="center"/>
              <w:textAlignment w:val="baseline"/>
              <w:rPr>
                <w:rFonts w:hint="eastAsia" w:ascii="宋体" w:hAnsi="宋体" w:eastAsia="宋体" w:cs="宋体"/>
                <w:snapToGrid w:val="0"/>
                <w:color w:val="000000"/>
                <w:spacing w:val="-4"/>
                <w:sz w:val="24"/>
                <w:szCs w:val="24"/>
                <w:highlight w:val="none"/>
                <w:lang w:val="en-US" w:eastAsia="en-US" w:bidi="ar-SA"/>
              </w:rPr>
            </w:pPr>
            <w:r>
              <w:rPr>
                <w:rFonts w:hint="eastAsia" w:ascii="宋体" w:hAnsi="宋体" w:eastAsia="宋体" w:cs="宋体"/>
                <w:spacing w:val="-4"/>
                <w:highlight w:val="none"/>
              </w:rPr>
              <w:t>服务</w:t>
            </w:r>
          </w:p>
        </w:tc>
        <w:tc>
          <w:tcPr>
            <w:tcW w:w="1365" w:type="dxa"/>
            <w:shd w:val="clear" w:color="auto" w:fill="auto"/>
            <w:vAlign w:val="center"/>
          </w:tcPr>
          <w:p w14:paraId="27D0EB5E">
            <w:pPr>
              <w:pStyle w:val="9"/>
              <w:keepNext w:val="0"/>
              <w:keepLines w:val="0"/>
              <w:pageBreakBefore w:val="0"/>
              <w:widowControl w:val="0"/>
              <w:kinsoku w:val="0"/>
              <w:wordWrap/>
              <w:overflowPunct/>
              <w:topLinePunct w:val="0"/>
              <w:autoSpaceDE w:val="0"/>
              <w:autoSpaceDN w:val="0"/>
              <w:bidi w:val="0"/>
              <w:adjustRightInd w:val="0"/>
              <w:snapToGrid w:val="0"/>
              <w:spacing w:line="219" w:lineRule="auto"/>
              <w:ind w:left="0" w:leftChars="0"/>
              <w:jc w:val="center"/>
              <w:textAlignment w:val="baseline"/>
              <w:rPr>
                <w:rFonts w:hint="eastAsia" w:ascii="宋体" w:hAnsi="宋体" w:eastAsia="宋体" w:cs="宋体"/>
                <w:snapToGrid w:val="0"/>
                <w:color w:val="000000"/>
                <w:spacing w:val="-10"/>
                <w:sz w:val="24"/>
                <w:szCs w:val="24"/>
                <w:highlight w:val="none"/>
                <w:lang w:val="en-US" w:eastAsia="zh-CN" w:bidi="ar-SA"/>
              </w:rPr>
            </w:pPr>
            <w:r>
              <w:rPr>
                <w:rFonts w:hint="eastAsia" w:ascii="宋体" w:hAnsi="宋体" w:eastAsia="宋体" w:cs="宋体"/>
                <w:b w:val="0"/>
                <w:bCs w:val="0"/>
                <w:spacing w:val="-10"/>
                <w:highlight w:val="none"/>
                <w:lang w:val="en-US" w:eastAsia="zh-CN"/>
              </w:rPr>
              <w:t>2年</w:t>
            </w:r>
          </w:p>
        </w:tc>
        <w:tc>
          <w:tcPr>
            <w:tcW w:w="1155" w:type="dxa"/>
            <w:vAlign w:val="center"/>
          </w:tcPr>
          <w:p w14:paraId="1ECB7595">
            <w:pPr>
              <w:pStyle w:val="9"/>
              <w:keepNext w:val="0"/>
              <w:keepLines w:val="0"/>
              <w:pageBreakBefore w:val="0"/>
              <w:widowControl w:val="0"/>
              <w:kinsoku w:val="0"/>
              <w:wordWrap/>
              <w:overflowPunct/>
              <w:topLinePunct w:val="0"/>
              <w:autoSpaceDE w:val="0"/>
              <w:autoSpaceDN w:val="0"/>
              <w:bidi w:val="0"/>
              <w:adjustRightInd w:val="0"/>
              <w:snapToGrid w:val="0"/>
              <w:spacing w:line="178" w:lineRule="auto"/>
              <w:ind w:left="0"/>
              <w:jc w:val="center"/>
              <w:textAlignment w:val="baseline"/>
              <w:rPr>
                <w:rFonts w:hint="default" w:ascii="宋体" w:hAnsi="宋体" w:eastAsia="宋体" w:cs="宋体"/>
                <w:spacing w:val="-4"/>
                <w:highlight w:val="none"/>
                <w:lang w:val="en-US" w:eastAsia="zh-CN"/>
              </w:rPr>
            </w:pPr>
            <w:r>
              <w:rPr>
                <w:rFonts w:hint="eastAsia" w:ascii="宋体" w:hAnsi="宋体" w:eastAsia="宋体" w:cs="宋体"/>
                <w:spacing w:val="-4"/>
                <w:highlight w:val="none"/>
                <w:lang w:val="en-US" w:eastAsia="zh-CN"/>
              </w:rPr>
              <w:t>60</w:t>
            </w:r>
          </w:p>
        </w:tc>
      </w:tr>
    </w:tbl>
    <w:p w14:paraId="782574A8">
      <w:pPr>
        <w:pStyle w:val="2"/>
        <w:keepNext w:val="0"/>
        <w:keepLines w:val="0"/>
        <w:pageBreakBefore w:val="0"/>
        <w:widowControl w:val="0"/>
        <w:kinsoku w:val="0"/>
        <w:wordWrap/>
        <w:overflowPunct/>
        <w:topLinePunct w:val="0"/>
        <w:autoSpaceDE w:val="0"/>
        <w:autoSpaceDN w:val="0"/>
        <w:bidi w:val="0"/>
        <w:adjustRightInd w:val="0"/>
        <w:snapToGrid w:val="0"/>
        <w:spacing w:before="112" w:line="220" w:lineRule="auto"/>
        <w:ind w:left="510"/>
        <w:textAlignment w:val="baseline"/>
      </w:pPr>
      <w:r>
        <w:rPr>
          <w:spacing w:val="-14"/>
        </w:rPr>
        <w:t>二、项目概况</w:t>
      </w:r>
    </w:p>
    <w:p w14:paraId="548D695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52" w:right="263" w:firstLine="457"/>
        <w:jc w:val="both"/>
        <w:textAlignment w:val="baseline"/>
        <w:rPr>
          <w:spacing w:val="-10"/>
          <w:lang w:eastAsia="zh-CN"/>
        </w:rPr>
      </w:pPr>
      <w:r>
        <w:rPr>
          <w:spacing w:val="-5"/>
          <w:lang w:eastAsia="zh-CN"/>
        </w:rPr>
        <w:t>（一）</w:t>
      </w:r>
      <w:r>
        <w:rPr>
          <w:spacing w:val="-5"/>
          <w:highlight w:val="none"/>
          <w:lang w:eastAsia="zh-CN"/>
        </w:rPr>
        <w:t>本项目</w:t>
      </w:r>
      <w:r>
        <w:rPr>
          <w:b w:val="0"/>
          <w:bCs w:val="0"/>
          <w:spacing w:val="-5"/>
          <w:highlight w:val="none"/>
          <w:lang w:eastAsia="zh-CN"/>
        </w:rPr>
        <w:t>确定</w:t>
      </w:r>
      <w:r>
        <w:rPr>
          <w:rFonts w:hint="eastAsia"/>
          <w:b/>
          <w:bCs/>
          <w:spacing w:val="-5"/>
          <w:highlight w:val="none"/>
          <w:lang w:val="en-US" w:eastAsia="zh-CN"/>
        </w:rPr>
        <w:t>1家</w:t>
      </w:r>
      <w:r>
        <w:rPr>
          <w:spacing w:val="-5"/>
          <w:highlight w:val="none"/>
          <w:lang w:eastAsia="zh-CN"/>
        </w:rPr>
        <w:t>符合资质的工程服务机构作为业主单位的工程项目造</w:t>
      </w:r>
      <w:r>
        <w:rPr>
          <w:spacing w:val="-9"/>
          <w:highlight w:val="none"/>
          <w:lang w:eastAsia="zh-CN"/>
        </w:rPr>
        <w:t>价咨询服务商，在服务期</w:t>
      </w:r>
      <w:r>
        <w:rPr>
          <w:spacing w:val="-9"/>
          <w:lang w:eastAsia="zh-CN"/>
        </w:rPr>
        <w:t>内接受医院的委托，对</w:t>
      </w:r>
      <w:r>
        <w:rPr>
          <w:spacing w:val="-10"/>
          <w:lang w:eastAsia="zh-CN"/>
        </w:rPr>
        <w:t>业主的造价咨询服务等项目提供</w:t>
      </w:r>
      <w:r>
        <w:rPr>
          <w:rFonts w:hint="eastAsia"/>
          <w:b/>
          <w:bCs/>
          <w:spacing w:val="-10"/>
          <w:lang w:val="en-US" w:eastAsia="zh-CN"/>
        </w:rPr>
        <w:t>结算审核</w:t>
      </w:r>
      <w:r>
        <w:rPr>
          <w:b/>
          <w:bCs/>
          <w:spacing w:val="-10"/>
          <w:lang w:eastAsia="zh-CN"/>
        </w:rPr>
        <w:t>服务</w:t>
      </w:r>
      <w:r>
        <w:rPr>
          <w:spacing w:val="-10"/>
          <w:lang w:eastAsia="zh-CN"/>
        </w:rPr>
        <w:t>。</w:t>
      </w:r>
      <w:r>
        <w:rPr>
          <w:rFonts w:hint="eastAsia"/>
          <w:b/>
          <w:bCs/>
          <w:spacing w:val="-5"/>
          <w:highlight w:val="none"/>
          <w:lang w:val="en-US" w:eastAsia="zh-CN"/>
        </w:rPr>
        <w:t>业主单位可按实际需求调整服务项目。</w:t>
      </w:r>
    </w:p>
    <w:p w14:paraId="5B7110A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52" w:right="263" w:firstLine="457"/>
        <w:jc w:val="both"/>
        <w:textAlignment w:val="baseline"/>
        <w:rPr>
          <w:rFonts w:hint="eastAsia"/>
          <w:b/>
          <w:bCs/>
          <w:spacing w:val="-5"/>
          <w:highlight w:val="none"/>
          <w:lang w:eastAsia="zh-CN"/>
        </w:rPr>
      </w:pPr>
      <w:r>
        <w:rPr>
          <w:spacing w:val="-9"/>
          <w:lang w:eastAsia="zh-CN"/>
        </w:rPr>
        <w:t>（二）服务范围</w:t>
      </w:r>
      <w:r>
        <w:rPr>
          <w:rFonts w:hint="eastAsia"/>
          <w:spacing w:val="-9"/>
          <w:lang w:eastAsia="zh-CN"/>
        </w:rPr>
        <w:t>：</w:t>
      </w:r>
      <w:r>
        <w:rPr>
          <w:rFonts w:hint="eastAsia"/>
          <w:b/>
          <w:bCs/>
          <w:spacing w:val="-5"/>
          <w:highlight w:val="none"/>
          <w:lang w:val="en-US" w:eastAsia="zh-CN"/>
        </w:rPr>
        <w:t>负责全院</w:t>
      </w:r>
      <w:r>
        <w:rPr>
          <w:b/>
          <w:bCs/>
          <w:spacing w:val="-9"/>
          <w:highlight w:val="none"/>
          <w:lang w:eastAsia="zh-CN"/>
        </w:rPr>
        <w:t>新建、改造、装修工程及院</w:t>
      </w:r>
      <w:r>
        <w:rPr>
          <w:b/>
          <w:bCs/>
          <w:spacing w:val="-4"/>
          <w:highlight w:val="none"/>
          <w:lang w:eastAsia="zh-CN"/>
        </w:rPr>
        <w:t>内零星工程项目等施工过程</w:t>
      </w:r>
      <w:r>
        <w:rPr>
          <w:rFonts w:hint="eastAsia"/>
          <w:b/>
          <w:bCs/>
          <w:spacing w:val="-4"/>
          <w:highlight w:val="none"/>
          <w:lang w:val="en-US" w:eastAsia="zh-CN"/>
        </w:rPr>
        <w:t>工程结算造价的审核、施工阶段全过程造价控制等</w:t>
      </w:r>
      <w:r>
        <w:rPr>
          <w:rFonts w:hint="eastAsia"/>
          <w:b/>
          <w:bCs/>
          <w:spacing w:val="-5"/>
          <w:highlight w:val="none"/>
          <w:lang w:eastAsia="zh-CN"/>
        </w:rPr>
        <w:t>。</w:t>
      </w:r>
    </w:p>
    <w:p w14:paraId="17E49ED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lang w:eastAsia="zh-CN"/>
        </w:rPr>
      </w:pPr>
      <w:r>
        <w:rPr>
          <w:spacing w:val="-15"/>
          <w:lang w:eastAsia="zh-CN"/>
        </w:rPr>
        <w:t>（三）</w:t>
      </w:r>
      <w:r>
        <w:rPr>
          <w:spacing w:val="-15"/>
          <w:highlight w:val="none"/>
          <w:lang w:eastAsia="zh-CN"/>
        </w:rPr>
        <w:t>服务期：</w:t>
      </w:r>
      <w:r>
        <w:rPr>
          <w:rFonts w:hint="eastAsia"/>
          <w:b/>
          <w:bCs/>
          <w:spacing w:val="-15"/>
          <w:highlight w:val="none"/>
          <w:lang w:eastAsia="zh-CN"/>
        </w:rPr>
        <w:t>自签订合同开始投入服务起满2年或累计结算金额达到包组采购预算</w:t>
      </w:r>
      <w:r>
        <w:rPr>
          <w:rFonts w:hint="eastAsia"/>
          <w:b/>
          <w:bCs/>
          <w:spacing w:val="-15"/>
          <w:highlight w:val="none"/>
          <w:lang w:val="en-US" w:eastAsia="zh-CN"/>
        </w:rPr>
        <w:t>6</w:t>
      </w:r>
      <w:r>
        <w:rPr>
          <w:rFonts w:hint="eastAsia"/>
          <w:b/>
          <w:bCs/>
          <w:spacing w:val="-15"/>
          <w:highlight w:val="none"/>
          <w:lang w:eastAsia="zh-CN"/>
        </w:rPr>
        <w:t>0万元时服务期终止，以先达到的条件为准。</w:t>
      </w:r>
      <w:r>
        <w:rPr>
          <w:spacing w:val="-15"/>
          <w:highlight w:val="none"/>
          <w:lang w:eastAsia="zh-CN"/>
        </w:rPr>
        <w:t>服务</w:t>
      </w:r>
      <w:r>
        <w:rPr>
          <w:spacing w:val="-15"/>
          <w:lang w:eastAsia="zh-CN"/>
        </w:rPr>
        <w:t>期内，服务单位无正当理由不得拒绝接受</w:t>
      </w:r>
      <w:r>
        <w:rPr>
          <w:spacing w:val="-5"/>
          <w:lang w:eastAsia="zh-CN"/>
        </w:rPr>
        <w:t>委托项目，已接受委托的项目，服务单位必须按照合同要求按时按质完成任务，</w:t>
      </w:r>
      <w:r>
        <w:rPr>
          <w:spacing w:val="-2"/>
          <w:lang w:eastAsia="zh-CN"/>
        </w:rPr>
        <w:t>未经业主书面同意，不得擅自将受托项目转委托给第三方承担。</w:t>
      </w:r>
    </w:p>
    <w:p w14:paraId="5E0EAFE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三、服务要求</w:t>
      </w:r>
      <w:bookmarkStart w:id="0" w:name="_GoBack"/>
      <w:bookmarkEnd w:id="0"/>
    </w:p>
    <w:p w14:paraId="5292A89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(一)基本要求</w:t>
      </w:r>
    </w:p>
    <w:p w14:paraId="17060E9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1.严格按照国家和地方有关规范、规程和规定执行有关服务。</w:t>
      </w:r>
    </w:p>
    <w:p w14:paraId="0BD0E32A">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2.严格按照业主授权范围，从严约束服务工作内容。</w:t>
      </w:r>
    </w:p>
    <w:p w14:paraId="54E05B5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3.提供高质量的服务。按照工作程序，做好“三控制，二管理”。认真搞好“协调”工作，选派专业技术对口的，具有较高技术素养的人员，投入到委托项目的服务工作之中。“独立、公正、公平”的处理工程项目范围的一切事务。</w:t>
      </w:r>
    </w:p>
    <w:p w14:paraId="00F66481">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4.自觉接受医院及项目有关的主管部门的监督，认真履行《委托协议服务合同》的各项义务。</w:t>
      </w:r>
    </w:p>
    <w:p w14:paraId="28E2BDA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5.按照“热情服务，认真严格”的指导思想，认真负责地做好项目工程的各项内容。讲究职业道德，遵纪守法，文明礼貌。</w:t>
      </w:r>
    </w:p>
    <w:p w14:paraId="0AF8AAB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6.做好善后服务，保证服务项目善始善终。</w:t>
      </w:r>
    </w:p>
    <w:p w14:paraId="6FA04435">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rFonts w:hint="eastAsia"/>
          <w:color w:val="000000"/>
          <w:spacing w:val="-5"/>
          <w:lang w:eastAsia="zh-CN"/>
        </w:rPr>
      </w:pPr>
      <w:r>
        <w:rPr>
          <w:color w:val="000000"/>
          <w:spacing w:val="-5"/>
          <w:lang w:eastAsia="zh-CN"/>
        </w:rPr>
        <w:t>（二）对掌握政策的要求：应熟悉国家、省、市有关部门相关的法律、法规及相关政策；了解政策、规范及市场的动向和变化，并有一定的基建工程概、预、结（决）算审核经验</w:t>
      </w:r>
      <w:r>
        <w:rPr>
          <w:rFonts w:hint="eastAsia"/>
          <w:color w:val="000000"/>
          <w:spacing w:val="-5"/>
          <w:lang w:eastAsia="zh-CN"/>
        </w:rPr>
        <w:t>。</w:t>
      </w:r>
    </w:p>
    <w:p w14:paraId="313E9B3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★（三）人员配置要求</w:t>
      </w:r>
    </w:p>
    <w:p w14:paraId="544F9C8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1.项目负责人：具</w:t>
      </w:r>
      <w:r>
        <w:rPr>
          <w:color w:val="auto"/>
          <w:spacing w:val="-5"/>
          <w:highlight w:val="none"/>
          <w:lang w:eastAsia="zh-CN"/>
        </w:rPr>
        <w:t>备</w:t>
      </w:r>
      <w:r>
        <w:rPr>
          <w:rFonts w:hint="eastAsia"/>
          <w:color w:val="auto"/>
          <w:spacing w:val="-5"/>
          <w:highlight w:val="none"/>
          <w:lang w:val="en-US" w:eastAsia="zh-CN"/>
        </w:rPr>
        <w:t>高级或</w:t>
      </w:r>
      <w:r>
        <w:rPr>
          <w:color w:val="auto"/>
          <w:spacing w:val="-5"/>
          <w:highlight w:val="none"/>
          <w:lang w:eastAsia="zh-CN"/>
        </w:rPr>
        <w:t>以上技</w:t>
      </w:r>
      <w:r>
        <w:rPr>
          <w:color w:val="000000"/>
          <w:spacing w:val="-5"/>
          <w:lang w:eastAsia="zh-CN"/>
        </w:rPr>
        <w:t>术职称及注册造价工程师执业资格,10年</w:t>
      </w:r>
      <w:r>
        <w:rPr>
          <w:rFonts w:hint="eastAsia"/>
          <w:color w:val="000000"/>
          <w:spacing w:val="-5"/>
          <w:lang w:val="en-US" w:eastAsia="zh-CN"/>
        </w:rPr>
        <w:t>或</w:t>
      </w:r>
      <w:r>
        <w:rPr>
          <w:color w:val="000000"/>
          <w:spacing w:val="-5"/>
          <w:lang w:eastAsia="zh-CN"/>
        </w:rPr>
        <w:t>以上造价工作经验。注册造价工程师资质证书中的单位名称需与投标人名称一致。</w:t>
      </w:r>
    </w:p>
    <w:p w14:paraId="4DFEF958">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如业主认为中标服务商投入的工作人员数量、业务水平、专业配置等不能满足本项目实际工作需要时，有权要求其及时调配或增加符合资格要求的人员，因此导致增加的费用由中标服务商承担。为了保持服务期间队伍的稳定性，项目负责人和团队对委托项目进行全过程管理,相关人员应和投标时响应文件名单保持一致，原则上未经医院同意，不得随意更换。</w:t>
      </w:r>
    </w:p>
    <w:p w14:paraId="5F1C9F9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★（四）服务响应要求：服务商必须在接到委托通知后24小时内办理承接委托事宜（应特殊事项需求上门服务）。</w:t>
      </w:r>
    </w:p>
    <w:p w14:paraId="4A0339FC">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left="22" w:leftChars="0" w:right="203" w:rightChars="0" w:firstLine="487" w:firstLineChars="0"/>
        <w:jc w:val="both"/>
        <w:textAlignment w:val="baseline"/>
        <w:rPr>
          <w:color w:val="000000"/>
          <w:spacing w:val="-5"/>
          <w:lang w:eastAsia="zh-CN"/>
        </w:rPr>
      </w:pPr>
      <w:r>
        <w:rPr>
          <w:rFonts w:hint="eastAsia" w:ascii="宋体" w:hAnsi="宋体" w:eastAsia="宋体" w:cs="宋体"/>
          <w:snapToGrid w:val="0"/>
          <w:color w:val="000000"/>
          <w:spacing w:val="-5"/>
          <w:sz w:val="24"/>
          <w:szCs w:val="24"/>
          <w:lang w:val="en-US" w:eastAsia="zh-CN" w:bidi="ar-SA"/>
        </w:rPr>
        <w:t>（五）</w:t>
      </w:r>
      <w:r>
        <w:rPr>
          <w:color w:val="000000"/>
          <w:spacing w:val="-5"/>
          <w:lang w:eastAsia="zh-CN"/>
        </w:rPr>
        <w:t>项目完成时间要求：参照省财政厅《广东省财政性资金基本建设投资评审暂行办法》（粤财基[2000]18号）（如国家、省市有关部门发布新文件，则按新文件修订）的规定及结合本单位的实际情况执行：视工程规模及复杂程度，在提供资料完整及有效的前提下，在7至30日历天内完成相关工作，出具有效报告（含初稿）。</w:t>
      </w:r>
    </w:p>
    <w:p w14:paraId="61723164">
      <w:pPr>
        <w:pStyle w:val="2"/>
        <w:keepNext w:val="0"/>
        <w:keepLines w:val="0"/>
        <w:pageBreakBefore w:val="0"/>
        <w:widowControl w:val="0"/>
        <w:kinsoku w:val="0"/>
        <w:wordWrap/>
        <w:overflowPunct/>
        <w:topLinePunct w:val="0"/>
        <w:autoSpaceDE w:val="0"/>
        <w:autoSpaceDN w:val="0"/>
        <w:bidi w:val="0"/>
        <w:adjustRightInd w:val="0"/>
        <w:snapToGrid w:val="0"/>
        <w:spacing w:before="185" w:line="220" w:lineRule="auto"/>
        <w:ind w:left="508"/>
        <w:textAlignment w:val="baseline"/>
        <w:rPr>
          <w:lang w:eastAsia="zh-CN"/>
        </w:rPr>
      </w:pPr>
      <w:r>
        <w:rPr>
          <w:rFonts w:hint="eastAsia"/>
          <w:spacing w:val="-7"/>
          <w:lang w:val="en-US" w:eastAsia="zh-CN"/>
        </w:rPr>
        <w:t>1</w:t>
      </w:r>
      <w:r>
        <w:rPr>
          <w:spacing w:val="-7"/>
          <w:lang w:eastAsia="zh-CN"/>
        </w:rPr>
        <w:t>、工程结算审核：</w:t>
      </w:r>
    </w:p>
    <w:tbl>
      <w:tblPr>
        <w:tblStyle w:val="6"/>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7"/>
        <w:gridCol w:w="3953"/>
      </w:tblGrid>
      <w:tr w14:paraId="0834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center"/>
          </w:tcPr>
          <w:p w14:paraId="575520F9">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lang w:val="en-US" w:eastAsia="zh-CN"/>
              </w:rPr>
            </w:pPr>
            <w:r>
              <w:rPr>
                <w:color w:val="000000"/>
                <w:spacing w:val="-5"/>
                <w:lang w:eastAsia="zh-CN"/>
              </w:rPr>
              <w:t>概算或预算造价</w:t>
            </w:r>
            <w:r>
              <w:rPr>
                <w:rFonts w:hint="eastAsia"/>
                <w:color w:val="000000"/>
                <w:spacing w:val="-5"/>
                <w:lang w:val="en-US" w:eastAsia="zh-CN"/>
              </w:rPr>
              <w:t>金额范围</w:t>
            </w:r>
          </w:p>
        </w:tc>
        <w:tc>
          <w:tcPr>
            <w:tcW w:w="3953" w:type="dxa"/>
            <w:vAlign w:val="center"/>
          </w:tcPr>
          <w:p w14:paraId="3A60BB86">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vertAlign w:val="baseline"/>
                <w:lang w:val="en-US" w:eastAsia="zh-CN"/>
              </w:rPr>
            </w:pPr>
            <w:r>
              <w:rPr>
                <w:rFonts w:hint="eastAsia"/>
                <w:color w:val="000000"/>
                <w:spacing w:val="-5"/>
                <w:vertAlign w:val="baseline"/>
                <w:lang w:val="en-US" w:eastAsia="zh-CN"/>
              </w:rPr>
              <w:t>出具有效报告时间</w:t>
            </w:r>
          </w:p>
        </w:tc>
      </w:tr>
      <w:tr w14:paraId="526E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3F28E8A7">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100万元以内</w:t>
            </w:r>
          </w:p>
        </w:tc>
        <w:tc>
          <w:tcPr>
            <w:tcW w:w="3953" w:type="dxa"/>
            <w:vAlign w:val="top"/>
          </w:tcPr>
          <w:p w14:paraId="7449C97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rFonts w:hint="eastAsia"/>
                <w:color w:val="000000"/>
                <w:spacing w:val="-5"/>
                <w:lang w:val="en-US" w:eastAsia="zh-CN"/>
              </w:rPr>
              <w:t>10</w:t>
            </w:r>
            <w:r>
              <w:rPr>
                <w:color w:val="000000"/>
                <w:spacing w:val="-5"/>
                <w:lang w:eastAsia="zh-CN"/>
              </w:rPr>
              <w:t>个工作日</w:t>
            </w:r>
          </w:p>
        </w:tc>
      </w:tr>
      <w:tr w14:paraId="2069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099551A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100～500万元</w:t>
            </w:r>
          </w:p>
        </w:tc>
        <w:tc>
          <w:tcPr>
            <w:tcW w:w="3953" w:type="dxa"/>
            <w:vAlign w:val="top"/>
          </w:tcPr>
          <w:p w14:paraId="1F6CE89A">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w:t>
            </w:r>
            <w:r>
              <w:rPr>
                <w:rFonts w:hint="eastAsia"/>
                <w:color w:val="000000"/>
                <w:spacing w:val="-5"/>
                <w:lang w:val="en-US" w:eastAsia="zh-CN"/>
              </w:rPr>
              <w:t>5</w:t>
            </w:r>
            <w:r>
              <w:rPr>
                <w:color w:val="000000"/>
                <w:spacing w:val="-5"/>
                <w:lang w:eastAsia="zh-CN"/>
              </w:rPr>
              <w:t>个工作日</w:t>
            </w:r>
          </w:p>
        </w:tc>
      </w:tr>
      <w:tr w14:paraId="285C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761C201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500～5000万元</w:t>
            </w:r>
          </w:p>
        </w:tc>
        <w:tc>
          <w:tcPr>
            <w:tcW w:w="3953" w:type="dxa"/>
            <w:vAlign w:val="top"/>
          </w:tcPr>
          <w:p w14:paraId="20FFCE96">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rFonts w:hint="eastAsia"/>
                <w:color w:val="000000"/>
                <w:spacing w:val="-5"/>
                <w:lang w:val="en-US" w:eastAsia="zh-CN"/>
              </w:rPr>
              <w:t>20</w:t>
            </w:r>
            <w:r>
              <w:rPr>
                <w:color w:val="000000"/>
                <w:spacing w:val="-5"/>
                <w:lang w:eastAsia="zh-CN"/>
              </w:rPr>
              <w:t>个工作日</w:t>
            </w:r>
          </w:p>
        </w:tc>
      </w:tr>
      <w:tr w14:paraId="27ED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1DC427E5">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5000万元以上</w:t>
            </w:r>
          </w:p>
        </w:tc>
        <w:tc>
          <w:tcPr>
            <w:tcW w:w="3953" w:type="dxa"/>
            <w:vAlign w:val="top"/>
          </w:tcPr>
          <w:p w14:paraId="420D908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rFonts w:hint="eastAsia"/>
                <w:color w:val="000000"/>
                <w:spacing w:val="-5"/>
                <w:lang w:val="en-US" w:eastAsia="zh-CN"/>
              </w:rPr>
              <w:t>30</w:t>
            </w:r>
            <w:r>
              <w:rPr>
                <w:color w:val="000000"/>
                <w:spacing w:val="-5"/>
                <w:lang w:eastAsia="zh-CN"/>
              </w:rPr>
              <w:t>个工作日</w:t>
            </w:r>
          </w:p>
        </w:tc>
      </w:tr>
    </w:tbl>
    <w:p w14:paraId="1769E46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（六）项目审核要充分考虑现场实际条件，并能针对项目特点提供合理化建议或意见，不片面追求核减率，结算审核项目需配合委托单位进行现场勘查</w:t>
      </w:r>
      <w:r>
        <w:rPr>
          <w:rFonts w:hint="eastAsia"/>
          <w:color w:val="000000"/>
          <w:spacing w:val="-5"/>
          <w:lang w:eastAsia="zh-CN"/>
        </w:rPr>
        <w:t>。</w:t>
      </w:r>
    </w:p>
    <w:p w14:paraId="37A423E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（七）咨询资料保管要求：咨询报告所涉及的资料，咨询所必须的全部送审资料，以及咨询过程中产生的现场踏勘等资料，应按基建档案管理的相关要求建立档案，装订成册，在移交咨询报告内移交给业主。</w:t>
      </w:r>
    </w:p>
    <w:p w14:paraId="13FC0E6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（八）其它要求：对业主的急件一旦接受委托，整个造价咨询过程的时间控制须严格按照业主的要求进行</w:t>
      </w:r>
      <w:r>
        <w:rPr>
          <w:rFonts w:hint="eastAsia"/>
          <w:color w:val="000000"/>
          <w:spacing w:val="-5"/>
          <w:lang w:eastAsia="zh-CN"/>
        </w:rPr>
        <w:t>。</w:t>
      </w:r>
    </w:p>
    <w:p w14:paraId="4EBD4F7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四、服务内容</w:t>
      </w:r>
    </w:p>
    <w:p w14:paraId="2D34FF8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w:t>
      </w:r>
      <w:r>
        <w:rPr>
          <w:rFonts w:hint="eastAsia"/>
          <w:color w:val="000000"/>
          <w:spacing w:val="-5"/>
          <w:lang w:val="en-US" w:eastAsia="zh-CN"/>
        </w:rPr>
        <w:t>一</w:t>
      </w:r>
      <w:r>
        <w:rPr>
          <w:color w:val="000000"/>
          <w:spacing w:val="-5"/>
          <w:lang w:eastAsia="zh-CN"/>
        </w:rPr>
        <w:t>)审核工程结算造价。</w:t>
      </w:r>
    </w:p>
    <w:p w14:paraId="7FC432D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w:t>
      </w:r>
      <w:r>
        <w:rPr>
          <w:rFonts w:hint="eastAsia"/>
          <w:color w:val="000000"/>
          <w:spacing w:val="-5"/>
          <w:lang w:val="en-US" w:eastAsia="zh-CN"/>
        </w:rPr>
        <w:t>二</w:t>
      </w:r>
      <w:r>
        <w:rPr>
          <w:color w:val="000000"/>
          <w:spacing w:val="-5"/>
          <w:lang w:eastAsia="zh-CN"/>
        </w:rPr>
        <w:t>)提交的所有造价文件格式均需满足采购人的要求。</w:t>
      </w:r>
    </w:p>
    <w:p w14:paraId="0E8EAACB">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w:t>
      </w:r>
      <w:r>
        <w:rPr>
          <w:rFonts w:hint="eastAsia"/>
          <w:color w:val="000000"/>
          <w:spacing w:val="-5"/>
          <w:lang w:val="en-US" w:eastAsia="zh-CN"/>
        </w:rPr>
        <w:t>三</w:t>
      </w:r>
      <w:r>
        <w:rPr>
          <w:color w:val="000000"/>
          <w:spacing w:val="-5"/>
          <w:lang w:eastAsia="zh-CN"/>
        </w:rPr>
        <w:t>)提供业主交代的其他造价咨询服务及投资控制事项。</w:t>
      </w:r>
    </w:p>
    <w:p w14:paraId="23D9D2F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五、计费标准和报价要求</w:t>
      </w:r>
    </w:p>
    <w:p w14:paraId="6DE55301">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建设工程造价咨询业务（含附加工作和额外工作）的酬金，按照广东省物价局颁发《广东省建设工程造价咨询服务收费项目和收费标准表》的标准下浮计费，报价优惠单位作为竞争性条件之一。工程造价咨询业务费，原则上</w:t>
      </w:r>
      <w:r>
        <w:rPr>
          <w:rFonts w:hint="eastAsia"/>
          <w:color w:val="000000"/>
          <w:spacing w:val="-5"/>
          <w:lang w:val="en-US" w:eastAsia="zh-CN"/>
        </w:rPr>
        <w:t>按单个工程</w:t>
      </w:r>
      <w:r>
        <w:rPr>
          <w:color w:val="000000"/>
          <w:spacing w:val="-5"/>
          <w:lang w:eastAsia="zh-CN"/>
        </w:rPr>
        <w:t>项目</w:t>
      </w:r>
      <w:r>
        <w:rPr>
          <w:rFonts w:hint="eastAsia"/>
          <w:color w:val="000000"/>
          <w:spacing w:val="-5"/>
          <w:lang w:val="en-US" w:eastAsia="zh-CN"/>
        </w:rPr>
        <w:t>实际累计</w:t>
      </w:r>
      <w:r>
        <w:rPr>
          <w:color w:val="000000"/>
          <w:spacing w:val="-5"/>
          <w:lang w:eastAsia="zh-CN"/>
        </w:rPr>
        <w:t>结算费用</w:t>
      </w:r>
      <w:r>
        <w:rPr>
          <w:rFonts w:hint="eastAsia"/>
          <w:color w:val="000000"/>
          <w:spacing w:val="-5"/>
          <w:lang w:eastAsia="zh-CN"/>
        </w:rPr>
        <w:t>（</w:t>
      </w:r>
      <w:r>
        <w:rPr>
          <w:rFonts w:hint="eastAsia"/>
          <w:b/>
          <w:bCs/>
          <w:color w:val="000000"/>
          <w:spacing w:val="-5"/>
          <w:lang w:val="en-US" w:eastAsia="zh-CN"/>
        </w:rPr>
        <w:t>总费用不超过本采购项目最高限价，即不超60万元</w:t>
      </w:r>
      <w:r>
        <w:rPr>
          <w:rFonts w:hint="eastAsia"/>
          <w:color w:val="000000"/>
          <w:spacing w:val="-5"/>
          <w:lang w:eastAsia="zh-CN"/>
        </w:rPr>
        <w:t>）</w:t>
      </w:r>
      <w:r>
        <w:rPr>
          <w:color w:val="000000"/>
          <w:spacing w:val="-5"/>
          <w:lang w:eastAsia="zh-CN"/>
        </w:rPr>
        <w:t>。</w:t>
      </w:r>
    </w:p>
    <w:p w14:paraId="68EDBFDD">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204" w:firstLine="488"/>
        <w:jc w:val="both"/>
        <w:textAlignment w:val="baseline"/>
        <w:rPr>
          <w:color w:val="000000"/>
          <w:spacing w:val="-5"/>
          <w:lang w:eastAsia="zh-CN"/>
        </w:rPr>
      </w:pPr>
      <w:r>
        <w:rPr>
          <w:color w:val="000000"/>
          <w:spacing w:val="-5"/>
          <w:lang w:eastAsia="zh-CN"/>
        </w:rPr>
        <w:t>六、服务考核监督管理办法</w:t>
      </w:r>
    </w:p>
    <w:p w14:paraId="1196289B">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204" w:firstLine="488"/>
        <w:jc w:val="both"/>
        <w:textAlignment w:val="baseline"/>
        <w:rPr>
          <w:color w:val="000000"/>
          <w:spacing w:val="-5"/>
          <w:lang w:eastAsia="zh-CN"/>
        </w:rPr>
      </w:pPr>
      <w:r>
        <w:rPr>
          <w:color w:val="000000"/>
          <w:spacing w:val="-5"/>
          <w:lang w:eastAsia="zh-CN"/>
        </w:rPr>
        <w:t>（一）为保证评审工作质量，服务商按时完成评审、现场踏勘和评审报告的内部复核、评审资料的归集和移交工作。</w:t>
      </w:r>
    </w:p>
    <w:p w14:paraId="028D335E">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204" w:firstLine="488"/>
        <w:jc w:val="both"/>
        <w:textAlignment w:val="baseline"/>
        <w:rPr>
          <w:color w:val="000000"/>
          <w:spacing w:val="-5"/>
          <w:lang w:eastAsia="zh-CN"/>
        </w:rPr>
      </w:pPr>
      <w:r>
        <w:rPr>
          <w:color w:val="000000"/>
          <w:spacing w:val="-5"/>
          <w:lang w:eastAsia="zh-CN"/>
        </w:rPr>
        <w:t>（二）服务商及其评审人员的工作出现重大过失，或存在因涉嫌玩忽职守、徇私舞弊等行为，或故意提供不实或内容虚假的造价资料，给我院审计工作造成重大损失或严重后果的，不得再参与我院此类业务，终止服务合同。</w:t>
      </w:r>
    </w:p>
    <w:p w14:paraId="793BEEAC">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（三）在合同执行期内如被发现委托单位有以下问题,审计科有权发出警告，终止服务合同，扣除评审费用和追究其法律责任的权利，并将有关情况向本院监管部门反映，情节严重的终止服务合同：</w:t>
      </w:r>
    </w:p>
    <w:p w14:paraId="1243F89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1.违反有关法律、法规和政策规定，造成院方损失的；</w:t>
      </w:r>
    </w:p>
    <w:p w14:paraId="212C9A7D">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2.通过提供虚假信息、误导或欺骗等方式，以谋取非法利益的；</w:t>
      </w:r>
    </w:p>
    <w:p w14:paraId="46E9169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3.无正当理由拒绝委托或未经院方书面同意擅自将受托项目转委托给第三方的；</w:t>
      </w:r>
    </w:p>
    <w:p w14:paraId="64620779">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4.违反回避制度和保密规定的；</w:t>
      </w:r>
    </w:p>
    <w:p w14:paraId="0878106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5.拒绝接受院方跟踪核查的；</w:t>
      </w:r>
    </w:p>
    <w:p w14:paraId="41D522FD">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6.出现信用危机、财务危机、经营危机甚至破产、倒闭、无法继续履行审核业务；</w:t>
      </w:r>
    </w:p>
    <w:p w14:paraId="1BDC220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7.咨询资质被降级或吊销的；</w:t>
      </w:r>
    </w:p>
    <w:p w14:paraId="6973D13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8.不按要求移交评审资料的；</w:t>
      </w:r>
    </w:p>
    <w:p w14:paraId="27D812B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9.由于服务商的原因导致审计报告文件有严重错误（包括但不限于工程量计算错误、取费不合理等问题），服务商应承担责任，每发现一次，扣罚该项目的咨询业务费的10％</w:t>
      </w:r>
      <w:r>
        <w:rPr>
          <w:rFonts w:hint="eastAsia"/>
          <w:color w:val="000000"/>
          <w:spacing w:val="-5"/>
          <w:lang w:eastAsia="zh-CN"/>
        </w:rPr>
        <w:t>；</w:t>
      </w:r>
    </w:p>
    <w:p w14:paraId="4B74DBEC">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10.因乙方原因服务商超过规定时限完成造价咨询服务</w:t>
      </w:r>
      <w:r>
        <w:rPr>
          <w:rFonts w:hint="eastAsia"/>
          <w:color w:val="000000"/>
          <w:spacing w:val="-5"/>
          <w:lang w:eastAsia="zh-CN"/>
        </w:rPr>
        <w:t>及延期移交全部送审资料</w:t>
      </w:r>
      <w:r>
        <w:rPr>
          <w:color w:val="000000"/>
          <w:spacing w:val="-5"/>
          <w:lang w:eastAsia="zh-CN"/>
        </w:rPr>
        <w:t>，从逾期之</w:t>
      </w:r>
      <w:r>
        <w:rPr>
          <w:color w:val="auto"/>
          <w:spacing w:val="-5"/>
          <w:highlight w:val="none"/>
          <w:lang w:eastAsia="zh-CN"/>
        </w:rPr>
        <w:t>日起，</w:t>
      </w:r>
      <w:r>
        <w:rPr>
          <w:color w:val="auto"/>
          <w:spacing w:val="-13"/>
          <w:highlight w:val="none"/>
          <w:lang w:eastAsia="zh-CN"/>
        </w:rPr>
        <w:t>每</w:t>
      </w:r>
      <w:r>
        <w:rPr>
          <w:rFonts w:hint="eastAsia"/>
          <w:color w:val="auto"/>
          <w:spacing w:val="-13"/>
          <w:highlight w:val="none"/>
          <w:lang w:val="en-US" w:eastAsia="zh-CN"/>
        </w:rPr>
        <w:t>日</w:t>
      </w:r>
      <w:r>
        <w:rPr>
          <w:color w:val="auto"/>
          <w:spacing w:val="-5"/>
          <w:highlight w:val="none"/>
          <w:lang w:eastAsia="zh-CN"/>
        </w:rPr>
        <w:t>按造价</w:t>
      </w:r>
      <w:r>
        <w:rPr>
          <w:color w:val="000000"/>
          <w:spacing w:val="-5"/>
          <w:lang w:eastAsia="zh-CN"/>
        </w:rPr>
        <w:t>咨询费的3‰来计算缴纳逾期违约金</w:t>
      </w:r>
      <w:r>
        <w:rPr>
          <w:rFonts w:hint="eastAsia"/>
          <w:color w:val="000000"/>
          <w:spacing w:val="-5"/>
          <w:lang w:eastAsia="zh-CN"/>
        </w:rPr>
        <w:t>；</w:t>
      </w:r>
    </w:p>
    <w:p w14:paraId="6B5C90E8">
      <w:pPr>
        <w:pStyle w:val="2"/>
        <w:keepNext w:val="0"/>
        <w:keepLines w:val="0"/>
        <w:pageBreakBefore w:val="0"/>
        <w:widowControl w:val="0"/>
        <w:kinsoku w:val="0"/>
        <w:wordWrap/>
        <w:overflowPunct/>
        <w:topLinePunct w:val="0"/>
        <w:autoSpaceDE w:val="0"/>
        <w:autoSpaceDN w:val="0"/>
        <w:bidi w:val="0"/>
        <w:adjustRightInd w:val="0"/>
        <w:snapToGrid w:val="0"/>
        <w:spacing w:before="122" w:line="360" w:lineRule="auto"/>
        <w:ind w:left="27" w:right="15" w:firstLine="493"/>
        <w:jc w:val="both"/>
        <w:textAlignment w:val="baseline"/>
        <w:rPr>
          <w:spacing w:val="-3"/>
          <w:lang w:eastAsia="zh-CN"/>
        </w:rPr>
      </w:pPr>
      <w:r>
        <w:rPr>
          <w:lang w:eastAsia="zh-CN"/>
        </w:rPr>
        <w:t>11.服务商需承诺保证造价咨询质量，甲方根据需求定期对造价咨</w:t>
      </w:r>
      <w:r>
        <w:rPr>
          <w:spacing w:val="-1"/>
          <w:lang w:eastAsia="zh-CN"/>
        </w:rPr>
        <w:t>询项目进</w:t>
      </w:r>
      <w:r>
        <w:rPr>
          <w:spacing w:val="-13"/>
          <w:lang w:eastAsia="zh-CN"/>
        </w:rPr>
        <w:t>行抽检复审，凡复审审</w:t>
      </w:r>
      <w:r>
        <w:rPr>
          <w:color w:val="auto"/>
          <w:spacing w:val="-13"/>
          <w:highlight w:val="none"/>
          <w:lang w:eastAsia="zh-CN"/>
        </w:rPr>
        <w:t>减比例【（</w:t>
      </w:r>
      <w:r>
        <w:rPr>
          <w:rFonts w:hint="eastAsia"/>
          <w:color w:val="auto"/>
          <w:spacing w:val="-13"/>
          <w:highlight w:val="none"/>
          <w:lang w:val="en-US" w:eastAsia="zh-CN"/>
        </w:rPr>
        <w:t>复审送审</w:t>
      </w:r>
      <w:r>
        <w:rPr>
          <w:color w:val="auto"/>
          <w:spacing w:val="-13"/>
          <w:highlight w:val="none"/>
          <w:lang w:eastAsia="zh-CN"/>
        </w:rPr>
        <w:t>金额－</w:t>
      </w:r>
      <w:r>
        <w:rPr>
          <w:rFonts w:hint="eastAsia"/>
          <w:color w:val="auto"/>
          <w:spacing w:val="-13"/>
          <w:highlight w:val="none"/>
          <w:lang w:val="en-US" w:eastAsia="zh-CN"/>
        </w:rPr>
        <w:t>复审</w:t>
      </w:r>
      <w:r>
        <w:rPr>
          <w:color w:val="auto"/>
          <w:spacing w:val="-13"/>
          <w:highlight w:val="none"/>
          <w:lang w:eastAsia="zh-CN"/>
        </w:rPr>
        <w:t>审定金额）/</w:t>
      </w:r>
      <w:r>
        <w:rPr>
          <w:rFonts w:hint="eastAsia"/>
          <w:color w:val="auto"/>
          <w:spacing w:val="-13"/>
          <w:highlight w:val="none"/>
          <w:lang w:val="en-US" w:eastAsia="zh-CN"/>
        </w:rPr>
        <w:t>复审</w:t>
      </w:r>
      <w:r>
        <w:rPr>
          <w:color w:val="auto"/>
          <w:spacing w:val="-13"/>
          <w:highlight w:val="none"/>
          <w:lang w:eastAsia="zh-CN"/>
        </w:rPr>
        <w:t>送审金额】在3％</w:t>
      </w:r>
      <w:r>
        <w:rPr>
          <w:color w:val="auto"/>
          <w:spacing w:val="-14"/>
          <w:highlight w:val="none"/>
          <w:lang w:eastAsia="zh-CN"/>
        </w:rPr>
        <w:t>及以</w:t>
      </w:r>
      <w:r>
        <w:rPr>
          <w:color w:val="auto"/>
          <w:spacing w:val="-3"/>
          <w:highlight w:val="none"/>
          <w:lang w:eastAsia="zh-CN"/>
        </w:rPr>
        <w:t>上的，扣罚该项目造</w:t>
      </w:r>
      <w:r>
        <w:rPr>
          <w:spacing w:val="-3"/>
          <w:lang w:eastAsia="zh-CN"/>
        </w:rPr>
        <w:t>价咨询服务费作为违约金。</w:t>
      </w:r>
    </w:p>
    <w:p w14:paraId="3868F67B">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七、商务要求</w:t>
      </w:r>
    </w:p>
    <w:p w14:paraId="59526F3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(一)报价要求：</w:t>
      </w:r>
    </w:p>
    <w:p w14:paraId="520D989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1.报价方式：本项目采用</w:t>
      </w:r>
      <w:r>
        <w:rPr>
          <w:rFonts w:hint="eastAsia"/>
          <w:b/>
          <w:bCs/>
          <w:color w:val="000000"/>
          <w:spacing w:val="-5"/>
          <w:lang w:val="en-US" w:eastAsia="zh-CN"/>
        </w:rPr>
        <w:t>下浮率</w:t>
      </w:r>
      <w:r>
        <w:rPr>
          <w:color w:val="000000"/>
          <w:spacing w:val="-5"/>
          <w:lang w:eastAsia="zh-CN"/>
        </w:rPr>
        <w:t>进行报价。</w:t>
      </w:r>
    </w:p>
    <w:p w14:paraId="58E7DB7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rFonts w:hint="eastAsia"/>
          <w:color w:val="000000"/>
          <w:spacing w:val="-5"/>
          <w:lang w:val="en-US" w:eastAsia="zh-CN"/>
        </w:rPr>
        <w:t>2</w:t>
      </w:r>
      <w:r>
        <w:rPr>
          <w:color w:val="000000"/>
          <w:spacing w:val="-5"/>
          <w:lang w:eastAsia="zh-CN"/>
        </w:rPr>
        <w:t>.投标人报价包括为完成本次采购项目规定工作内容所承担的一切本身和不可或缺的所有工作开支、利润、税金、政策性文件规定及合同包含的所有风险、责任等各项费用，不论其在投标文件中是否提及。</w:t>
      </w:r>
    </w:p>
    <w:p w14:paraId="08BB996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(二)验收要求：</w:t>
      </w:r>
    </w:p>
    <w:p w14:paraId="28B1ECF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需符合国家有关法律法规的要求，并配合采购人报批和有关部门审查</w:t>
      </w:r>
      <w:r>
        <w:rPr>
          <w:rFonts w:hint="eastAsia"/>
          <w:color w:val="000000"/>
          <w:spacing w:val="-5"/>
          <w:lang w:eastAsia="zh-CN"/>
        </w:rPr>
        <w:t>，</w:t>
      </w:r>
      <w:r>
        <w:rPr>
          <w:color w:val="000000"/>
          <w:spacing w:val="-5"/>
          <w:lang w:eastAsia="zh-CN"/>
        </w:rPr>
        <w:t>验收由采购人组织相关部门验收。</w:t>
      </w:r>
    </w:p>
    <w:p w14:paraId="0EE896FA">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(三)付款方式及计费方法：</w:t>
      </w:r>
    </w:p>
    <w:p w14:paraId="35C9160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1.付款方式：采用支票、银行汇付（含电汇）等形式。</w:t>
      </w:r>
    </w:p>
    <w:p w14:paraId="1463FAC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2.签订合同后，合同款每半年按实结算。</w:t>
      </w:r>
    </w:p>
    <w:p w14:paraId="7DE0C56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(四)其它要求：</w:t>
      </w:r>
    </w:p>
    <w:p w14:paraId="6FF7224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1.必须服从项目工作安排，按期完成任务。中标单位接受任务后，应将团队名单报采购人备案。</w:t>
      </w:r>
    </w:p>
    <w:p w14:paraId="685EAFB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2.坚持客观、科学、公正的原则，依法依规开展本项目工作，对工作情况、成果的真实性、合理性、准确性负责。工作中发现的问题及时向采购人反映。</w:t>
      </w:r>
    </w:p>
    <w:sectPr>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ZmZiOTViY2NiMTZmZDI3M2U5NjlkYjY0YzRlNmUifQ=="/>
  </w:docVars>
  <w:rsids>
    <w:rsidRoot w:val="00E76C76"/>
    <w:rsid w:val="0005695A"/>
    <w:rsid w:val="0010009B"/>
    <w:rsid w:val="0013695A"/>
    <w:rsid w:val="00172A8D"/>
    <w:rsid w:val="00282642"/>
    <w:rsid w:val="00344427"/>
    <w:rsid w:val="003C1F10"/>
    <w:rsid w:val="003E299D"/>
    <w:rsid w:val="00E76C76"/>
    <w:rsid w:val="042B3546"/>
    <w:rsid w:val="0BC77592"/>
    <w:rsid w:val="0D125BED"/>
    <w:rsid w:val="14BA21CE"/>
    <w:rsid w:val="14F73044"/>
    <w:rsid w:val="1AEE0821"/>
    <w:rsid w:val="1C0D5CE3"/>
    <w:rsid w:val="1DFB323B"/>
    <w:rsid w:val="1F1F21B7"/>
    <w:rsid w:val="1F5D6901"/>
    <w:rsid w:val="1FB86874"/>
    <w:rsid w:val="20AB22B8"/>
    <w:rsid w:val="215D7419"/>
    <w:rsid w:val="21F345B0"/>
    <w:rsid w:val="222830A6"/>
    <w:rsid w:val="22BC076E"/>
    <w:rsid w:val="23E91C19"/>
    <w:rsid w:val="24025554"/>
    <w:rsid w:val="24711CDE"/>
    <w:rsid w:val="26103D41"/>
    <w:rsid w:val="28F24F0F"/>
    <w:rsid w:val="2A1014C0"/>
    <w:rsid w:val="2C273E5D"/>
    <w:rsid w:val="2C89338C"/>
    <w:rsid w:val="31763D3D"/>
    <w:rsid w:val="36F52588"/>
    <w:rsid w:val="3F5B0B07"/>
    <w:rsid w:val="44960137"/>
    <w:rsid w:val="4E923B3E"/>
    <w:rsid w:val="4EF030B0"/>
    <w:rsid w:val="510B495E"/>
    <w:rsid w:val="56D22F82"/>
    <w:rsid w:val="58410774"/>
    <w:rsid w:val="58A87F99"/>
    <w:rsid w:val="59F8364D"/>
    <w:rsid w:val="5C94669C"/>
    <w:rsid w:val="5CB65A63"/>
    <w:rsid w:val="60BA2F43"/>
    <w:rsid w:val="62476357"/>
    <w:rsid w:val="652416BB"/>
    <w:rsid w:val="6A0A6409"/>
    <w:rsid w:val="6BF16A36"/>
    <w:rsid w:val="6D761CA9"/>
    <w:rsid w:val="730D1FCF"/>
    <w:rsid w:val="7D475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4"/>
      <w:szCs w:val="24"/>
    </w:rPr>
  </w:style>
  <w:style w:type="character" w:customStyle="1" w:styleId="10">
    <w:name w:val="页眉 Char"/>
    <w:basedOn w:val="7"/>
    <w:link w:val="4"/>
    <w:qFormat/>
    <w:uiPriority w:val="0"/>
    <w:rPr>
      <w:rFonts w:eastAsia="Arial"/>
      <w:snapToGrid w:val="0"/>
      <w:color w:val="000000"/>
      <w:sz w:val="18"/>
      <w:szCs w:val="18"/>
      <w:lang w:eastAsia="en-US"/>
    </w:rPr>
  </w:style>
  <w:style w:type="character" w:customStyle="1" w:styleId="11">
    <w:name w:val="页脚 Char"/>
    <w:basedOn w:val="7"/>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2743</Words>
  <Characters>2805</Characters>
  <Lines>24</Lines>
  <Paragraphs>6</Paragraphs>
  <TotalTime>0</TotalTime>
  <ScaleCrop>false</ScaleCrop>
  <LinksUpToDate>false</LinksUpToDate>
  <CharactersWithSpaces>2805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2023-09-18T09:57:00Z</dcterms:created>
  <dc:creator>陈芷彤</dc:creator>
  <cp:lastModifiedBy>CZT</cp:lastModifiedBy>
  <cp:lastPrinted>2024-09-09T07:30:00Z</cp:lastPrinted>
  <dcterms:modified xsi:type="dcterms:W3CDTF">2024-10-15T01:54:16Z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2023-08-04T09:35:29Z</vt:filetime>
  </property>
  <property fmtid="{D5CDD505-2E9C-101B-9397-08002B2CF9AE}" pid="4" name="KSOProductBuildVer">
    <vt:lpwstr>2052-12.1.0.18276</vt:lpwstr>
  </property>
  <property fmtid="{D5CDD505-2E9C-101B-9397-08002B2CF9AE}" pid="5" name="ICV">
    <vt:lpwstr>E0CC5B244D3A46C4BBD2271A2DDA5268_13</vt:lpwstr>
  </property>
</Properties>
</file>