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hAnsi="宋体" w:cs="宋体"/>
          <w:b/>
          <w:bCs/>
          <w:color w:val="000000"/>
          <w:sz w:val="30"/>
          <w:szCs w:val="30"/>
          <w:shd w:val="clear" w:color="auto" w:fill="FFFFFF"/>
        </w:rPr>
      </w:pPr>
      <w:r>
        <w:rPr>
          <w:rFonts w:hint="eastAsia" w:hAnsi="宋体" w:cs="宋体"/>
          <w:b/>
          <w:bCs/>
          <w:color w:val="000000"/>
          <w:sz w:val="30"/>
          <w:szCs w:val="30"/>
          <w:shd w:val="clear" w:color="auto" w:fill="FFFFFF"/>
          <w:lang w:eastAsia="zh-CN"/>
        </w:rPr>
        <w:t>广东省第二人民医院</w:t>
      </w:r>
      <w:r>
        <w:rPr>
          <w:rFonts w:hint="eastAsia" w:hAnsi="宋体" w:cs="宋体"/>
          <w:b/>
          <w:bCs/>
          <w:color w:val="000000"/>
          <w:sz w:val="30"/>
          <w:szCs w:val="30"/>
          <w:shd w:val="clear" w:color="auto" w:fill="FFFFFF"/>
        </w:rPr>
        <w:t>病原微生物二代测序检测外送服务项目</w:t>
      </w:r>
    </w:p>
    <w:p>
      <w:pPr>
        <w:widowControl/>
        <w:snapToGrid w:val="0"/>
        <w:spacing w:line="360" w:lineRule="auto"/>
        <w:jc w:val="center"/>
        <w:rPr>
          <w:rFonts w:hint="eastAsia" w:ascii="幼圆" w:hAnsi="宋体" w:eastAsia="幼圆"/>
          <w:b/>
          <w:bCs/>
          <w:sz w:val="30"/>
          <w:szCs w:val="30"/>
        </w:rPr>
      </w:pPr>
      <w:r>
        <w:rPr>
          <w:rFonts w:hint="eastAsia" w:hAnsi="宋体" w:cs="宋体"/>
          <w:b/>
          <w:bCs/>
          <w:color w:val="000000"/>
          <w:sz w:val="30"/>
          <w:szCs w:val="30"/>
          <w:shd w:val="clear" w:color="auto" w:fill="FFFFFF"/>
          <w:lang w:eastAsia="zh-CN"/>
        </w:rPr>
        <w:t>用户</w:t>
      </w:r>
      <w:r>
        <w:rPr>
          <w:rFonts w:hint="eastAsia" w:hAnsi="宋体" w:cs="宋体"/>
          <w:b/>
          <w:bCs/>
          <w:color w:val="000000"/>
          <w:sz w:val="30"/>
          <w:szCs w:val="30"/>
          <w:shd w:val="clear" w:color="auto" w:fill="FFFFFF"/>
        </w:rPr>
        <w:t>需求</w:t>
      </w:r>
    </w:p>
    <w:p>
      <w:pPr>
        <w:spacing w:line="360" w:lineRule="auto"/>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一、项目概况</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病原微生物宏基因组（mNGS）</w:t>
      </w:r>
      <w:r>
        <w:rPr>
          <w:rFonts w:hint="eastAsia" w:asciiTheme="minorEastAsia" w:hAnsiTheme="minorEastAsia" w:eastAsiaTheme="minorEastAsia" w:cstheme="minorEastAsia"/>
          <w:sz w:val="21"/>
          <w:szCs w:val="21"/>
          <w:lang w:eastAsia="zh-CN"/>
        </w:rPr>
        <w:t>和</w:t>
      </w:r>
      <w:r>
        <w:rPr>
          <w:rFonts w:hint="eastAsia" w:asciiTheme="minorEastAsia" w:hAnsiTheme="minorEastAsia" w:eastAsiaTheme="minorEastAsia" w:cstheme="minorEastAsia"/>
          <w:sz w:val="21"/>
          <w:szCs w:val="21"/>
        </w:rPr>
        <w:t>靶向测序（tNGS）</w:t>
      </w:r>
      <w:r>
        <w:rPr>
          <w:rFonts w:hint="eastAsia" w:asciiTheme="minorEastAsia" w:hAnsiTheme="minorEastAsia" w:eastAsiaTheme="minorEastAsia" w:cstheme="minorEastAsia"/>
          <w:sz w:val="21"/>
          <w:szCs w:val="21"/>
          <w:lang w:eastAsia="zh-CN"/>
        </w:rPr>
        <w:t>利用二代</w:t>
      </w:r>
      <w:r>
        <w:rPr>
          <w:rFonts w:hint="eastAsia" w:asciiTheme="minorEastAsia" w:hAnsiTheme="minorEastAsia" w:eastAsiaTheme="minorEastAsia" w:cstheme="minorEastAsia"/>
          <w:sz w:val="21"/>
          <w:szCs w:val="21"/>
        </w:rPr>
        <w:t>测序技术，</w:t>
      </w:r>
      <w:r>
        <w:rPr>
          <w:rFonts w:hint="eastAsia" w:asciiTheme="minorEastAsia" w:hAnsiTheme="minorEastAsia" w:eastAsiaTheme="minorEastAsia" w:cstheme="minorEastAsia"/>
          <w:sz w:val="21"/>
          <w:szCs w:val="21"/>
          <w:lang w:eastAsia="zh-CN"/>
        </w:rPr>
        <w:t>可</w:t>
      </w:r>
      <w:r>
        <w:rPr>
          <w:rFonts w:hint="eastAsia" w:asciiTheme="minorEastAsia" w:hAnsiTheme="minorEastAsia" w:eastAsiaTheme="minorEastAsia" w:cstheme="minorEastAsia"/>
          <w:sz w:val="21"/>
          <w:szCs w:val="21"/>
        </w:rPr>
        <w:t>实现</w:t>
      </w:r>
      <w:r>
        <w:rPr>
          <w:rFonts w:hint="eastAsia" w:asciiTheme="minorEastAsia" w:hAnsiTheme="minorEastAsia" w:eastAsiaTheme="minorEastAsia" w:cstheme="minorEastAsia"/>
          <w:sz w:val="21"/>
          <w:szCs w:val="21"/>
          <w:lang w:eastAsia="zh-CN"/>
        </w:rPr>
        <w:t>对</w:t>
      </w:r>
      <w:r>
        <w:rPr>
          <w:rFonts w:hint="eastAsia" w:asciiTheme="minorEastAsia" w:hAnsiTheme="minorEastAsia" w:eastAsiaTheme="minorEastAsia" w:cstheme="minorEastAsia"/>
          <w:sz w:val="21"/>
          <w:szCs w:val="21"/>
        </w:rPr>
        <w:t>病原</w:t>
      </w:r>
      <w:r>
        <w:rPr>
          <w:rFonts w:hint="eastAsia" w:asciiTheme="minorEastAsia" w:hAnsiTheme="minorEastAsia" w:eastAsiaTheme="minorEastAsia" w:cstheme="minorEastAsia"/>
          <w:sz w:val="21"/>
          <w:szCs w:val="21"/>
          <w:lang w:eastAsia="zh-CN"/>
        </w:rPr>
        <w:t>微生物</w:t>
      </w:r>
      <w:r>
        <w:rPr>
          <w:rFonts w:hint="eastAsia" w:asciiTheme="minorEastAsia" w:hAnsiTheme="minorEastAsia" w:eastAsiaTheme="minorEastAsia" w:cstheme="minorEastAsia"/>
          <w:sz w:val="21"/>
          <w:szCs w:val="21"/>
        </w:rPr>
        <w:t>的广谱精准检测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能有效弥补传统病原体检测方法的不足，助力感染性疾病精准诊断</w:t>
      </w:r>
      <w:r>
        <w:rPr>
          <w:rFonts w:hint="eastAsia" w:asciiTheme="minorEastAsia" w:hAnsiTheme="minorEastAsia" w:eastAsiaTheme="minorEastAsia" w:cstheme="minorEastAsia"/>
          <w:sz w:val="21"/>
          <w:szCs w:val="21"/>
          <w:lang w:eastAsia="zh-CN"/>
        </w:rPr>
        <w:t>和</w:t>
      </w:r>
      <w:r>
        <w:rPr>
          <w:rFonts w:hint="eastAsia" w:asciiTheme="minorEastAsia" w:hAnsiTheme="minorEastAsia" w:eastAsiaTheme="minorEastAsia" w:cstheme="minorEastAsia"/>
          <w:sz w:val="21"/>
          <w:szCs w:val="21"/>
        </w:rPr>
        <w:t>靶向治疗，有效降低抗菌药物的滥用和减少耐药发生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提升医院感染性疾病诊断水平；</w:t>
      </w:r>
      <w:r>
        <w:rPr>
          <w:rFonts w:hint="eastAsia" w:asciiTheme="minorEastAsia" w:hAnsiTheme="minorEastAsia" w:eastAsiaTheme="minorEastAsia" w:cstheme="minorEastAsia"/>
          <w:sz w:val="21"/>
          <w:szCs w:val="21"/>
          <w:lang w:eastAsia="zh-CN"/>
        </w:rPr>
        <w:t>同时</w:t>
      </w:r>
      <w:r>
        <w:rPr>
          <w:rFonts w:hint="eastAsia" w:asciiTheme="minorEastAsia" w:hAnsiTheme="minorEastAsia" w:eastAsiaTheme="minorEastAsia" w:cstheme="minorEastAsia"/>
          <w:sz w:val="21"/>
          <w:szCs w:val="21"/>
        </w:rPr>
        <w:t>助力医院科研产出与科研能力建设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提升医院综合实力</w:t>
      </w:r>
      <w:r>
        <w:rPr>
          <w:rFonts w:hint="eastAsia" w:asciiTheme="minorEastAsia" w:hAnsiTheme="minorEastAsia" w:eastAsiaTheme="minorEastAsia" w:cstheme="minorEastAsia"/>
          <w:sz w:val="21"/>
          <w:szCs w:val="21"/>
          <w:lang w:eastAsia="zh-CN"/>
        </w:rPr>
        <w:t>，为科室本地化</w:t>
      </w:r>
      <w:r>
        <w:rPr>
          <w:rFonts w:hint="eastAsia" w:asciiTheme="minorEastAsia" w:hAnsiTheme="minorEastAsia" w:eastAsiaTheme="minorEastAsia" w:cstheme="minorEastAsia"/>
          <w:sz w:val="21"/>
          <w:szCs w:val="21"/>
        </w:rPr>
        <w:t>自建检测平台</w:t>
      </w:r>
      <w:r>
        <w:rPr>
          <w:rFonts w:hint="eastAsia" w:asciiTheme="minorEastAsia" w:hAnsiTheme="minorEastAsia" w:eastAsiaTheme="minorEastAsia" w:cstheme="minorEastAsia"/>
          <w:sz w:val="21"/>
          <w:szCs w:val="21"/>
          <w:lang w:eastAsia="zh-CN"/>
        </w:rPr>
        <w:t>提供数据和技术支持</w:t>
      </w:r>
      <w:r>
        <w:rPr>
          <w:rFonts w:hint="eastAsia" w:asciiTheme="minorEastAsia" w:hAnsiTheme="minorEastAsia" w:eastAsiaTheme="minorEastAsia" w:cstheme="minorEastAsia"/>
          <w:sz w:val="21"/>
          <w:szCs w:val="21"/>
        </w:rPr>
        <w:t>。</w:t>
      </w:r>
    </w:p>
    <w:p>
      <w:pPr>
        <w:spacing w:line="360" w:lineRule="auto"/>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二、合作单位资质要求</w:t>
      </w:r>
    </w:p>
    <w:p>
      <w:pPr>
        <w:pStyle w:val="11"/>
        <w:numPr>
          <w:ilvl w:val="1"/>
          <w:numId w:val="1"/>
        </w:numPr>
        <w:spacing w:line="360" w:lineRule="auto"/>
        <w:ind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检测实验室具有医疗机构执行许可证。</w:t>
      </w:r>
    </w:p>
    <w:p>
      <w:pPr>
        <w:pStyle w:val="11"/>
        <w:numPr>
          <w:ilvl w:val="1"/>
          <w:numId w:val="1"/>
        </w:numPr>
        <w:spacing w:line="360" w:lineRule="auto"/>
        <w:ind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检测实验室具有生物安全二级或以上实验室资质</w:t>
      </w:r>
      <w:r>
        <w:rPr>
          <w:rFonts w:ascii="Times New Roman" w:hAnsi="Times New Roman" w:eastAsia="宋体"/>
          <w:szCs w:val="21"/>
        </w:rPr>
        <w:t>，</w:t>
      </w:r>
      <w:r>
        <w:rPr>
          <w:rFonts w:hint="default" w:ascii="Times New Roman" w:hAnsi="Times New Roman" w:eastAsia="宋体" w:cs="Times New Roman"/>
          <w:kern w:val="2"/>
          <w:sz w:val="21"/>
          <w:szCs w:val="21"/>
          <w:lang w:val="en-US" w:eastAsia="zh-CN" w:bidi="ar-SA"/>
        </w:rPr>
        <w:t xml:space="preserve">并提供病原微生物实验室备案通知书复印件。 </w:t>
      </w:r>
    </w:p>
    <w:p>
      <w:pPr>
        <w:pStyle w:val="11"/>
        <w:numPr>
          <w:ilvl w:val="1"/>
          <w:numId w:val="1"/>
        </w:numPr>
        <w:spacing w:line="360" w:lineRule="auto"/>
        <w:ind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检测实验室具有临床基因扩增检验实验室资质</w:t>
      </w:r>
      <w:r>
        <w:rPr>
          <w:rFonts w:hint="eastAsia" w:ascii="Times New Roman" w:hAnsi="Times New Roman" w:eastAsia="宋体" w:cs="Times New Roman"/>
          <w:kern w:val="2"/>
          <w:sz w:val="21"/>
          <w:szCs w:val="21"/>
          <w:lang w:val="en-US" w:eastAsia="zh-CN" w:bidi="ar-SA"/>
        </w:rPr>
        <w:t>和高通量测序实验室技术审核合格证书</w:t>
      </w:r>
      <w:r>
        <w:rPr>
          <w:rFonts w:hint="default" w:ascii="Times New Roman" w:hAnsi="Times New Roman" w:eastAsia="宋体" w:cs="Times New Roman"/>
          <w:kern w:val="2"/>
          <w:sz w:val="21"/>
          <w:szCs w:val="21"/>
          <w:lang w:val="en-US" w:eastAsia="zh-CN" w:bidi="ar-SA"/>
        </w:rPr>
        <w:t>。</w:t>
      </w:r>
    </w:p>
    <w:p>
      <w:pPr>
        <w:pStyle w:val="11"/>
        <w:numPr>
          <w:ilvl w:val="1"/>
          <w:numId w:val="1"/>
        </w:numPr>
        <w:spacing w:line="360" w:lineRule="auto"/>
        <w:ind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检测实验室或所属集团公司旗下的其他相关实验室连续3年获得NCCL获得室间质评合格证书。</w:t>
      </w:r>
    </w:p>
    <w:p>
      <w:pPr>
        <w:pStyle w:val="11"/>
        <w:numPr>
          <w:ilvl w:val="1"/>
          <w:numId w:val="1"/>
        </w:numPr>
        <w:spacing w:line="360" w:lineRule="auto"/>
        <w:ind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检测实验室或所属集团公司旗下的其他相关实验室获得ISO15189认证（认可的检验方法含高通量测序法）。</w:t>
      </w:r>
    </w:p>
    <w:p>
      <w:pPr>
        <w:pStyle w:val="11"/>
        <w:numPr>
          <w:ilvl w:val="1"/>
          <w:numId w:val="1"/>
        </w:numPr>
        <w:spacing w:line="360" w:lineRule="auto"/>
        <w:ind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获得《信息系统安全等级保护三级证书》，</w:t>
      </w:r>
      <w:r>
        <w:rPr>
          <w:rFonts w:hint="eastAsia" w:ascii="Times New Roman" w:hAnsi="Times New Roman" w:eastAsia="宋体" w:cs="Times New Roman"/>
          <w:kern w:val="2"/>
          <w:sz w:val="21"/>
          <w:szCs w:val="21"/>
          <w:lang w:val="en-US" w:eastAsia="zh-CN" w:bidi="ar-SA"/>
        </w:rPr>
        <w:t>可</w:t>
      </w:r>
      <w:r>
        <w:rPr>
          <w:rFonts w:hint="default" w:ascii="Times New Roman" w:hAnsi="Times New Roman" w:eastAsia="宋体" w:cs="Times New Roman"/>
          <w:kern w:val="2"/>
          <w:sz w:val="21"/>
          <w:szCs w:val="21"/>
          <w:lang w:val="en-US" w:eastAsia="zh-CN" w:bidi="ar-SA"/>
        </w:rPr>
        <w:t>与医院项目系统实施双向数据传输对接，并保障信息传输安全。</w:t>
      </w:r>
    </w:p>
    <w:p>
      <w:pPr>
        <w:pStyle w:val="11"/>
        <w:numPr>
          <w:ilvl w:val="1"/>
          <w:numId w:val="1"/>
        </w:numPr>
        <w:spacing w:line="360" w:lineRule="auto"/>
        <w:ind w:firstLineChars="0"/>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拥有完善的物流方案和售后服务方案。</w:t>
      </w:r>
    </w:p>
    <w:p>
      <w:pPr>
        <w:pStyle w:val="11"/>
        <w:numPr>
          <w:ilvl w:val="1"/>
          <w:numId w:val="1"/>
        </w:numPr>
        <w:spacing w:line="360" w:lineRule="auto"/>
        <w:ind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同时具备检验资格证书、临床基因扩增实验室技术人员上岗证书</w:t>
      </w:r>
      <w:r>
        <w:rPr>
          <w:rFonts w:hint="eastAsia" w:ascii="Times New Roman" w:hAnsi="Times New Roman" w:eastAsia="宋体" w:cs="Times New Roman"/>
          <w:kern w:val="2"/>
          <w:sz w:val="21"/>
          <w:szCs w:val="21"/>
          <w:lang w:val="en-US" w:eastAsia="zh-CN" w:bidi="ar-SA"/>
        </w:rPr>
        <w:t>、高通量测序培训证书、</w:t>
      </w:r>
      <w:r>
        <w:rPr>
          <w:rFonts w:hint="eastAsia" w:ascii="Times New Roman" w:hAnsi="Times New Roman" w:eastAsia="宋体" w:cs="Times New Roman"/>
          <w:kern w:val="2"/>
          <w:sz w:val="21"/>
          <w:szCs w:val="21"/>
          <w:lang w:val="en-US" w:eastAsia="zh-CN" w:bidi="ar-SA"/>
        </w:rPr>
        <w:t>病原微生物实验室生物安全培训证的检验</w:t>
      </w:r>
      <w:bookmarkStart w:id="0" w:name="_GoBack"/>
      <w:bookmarkEnd w:id="0"/>
      <w:r>
        <w:rPr>
          <w:rFonts w:hint="eastAsia" w:ascii="Times New Roman" w:hAnsi="Times New Roman" w:eastAsia="宋体" w:cs="Times New Roman"/>
          <w:kern w:val="2"/>
          <w:sz w:val="21"/>
          <w:szCs w:val="21"/>
          <w:lang w:val="en-US" w:eastAsia="zh-CN" w:bidi="ar-SA"/>
        </w:rPr>
        <w:t>人员，其中有至少有1名高级职称。</w:t>
      </w:r>
    </w:p>
    <w:p>
      <w:pPr>
        <w:pStyle w:val="11"/>
        <w:numPr>
          <w:ilvl w:val="1"/>
          <w:numId w:val="1"/>
        </w:numPr>
        <w:spacing w:line="360" w:lineRule="auto"/>
        <w:ind w:firstLineChars="0"/>
      </w:pPr>
      <w:r>
        <w:rPr>
          <w:rFonts w:hint="default" w:ascii="Times New Roman" w:hAnsi="Times New Roman" w:eastAsia="宋体" w:cs="Times New Roman"/>
          <w:kern w:val="2"/>
          <w:sz w:val="21"/>
          <w:szCs w:val="21"/>
          <w:lang w:val="en-US" w:eastAsia="zh-CN" w:bidi="ar-SA"/>
        </w:rPr>
        <w:t>检测实验室或所属公司具有良好的病原微生物二代测序检测的临床科研能力</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可以为临床提供增值服务。</w:t>
      </w:r>
    </w:p>
    <w:p>
      <w:pPr>
        <w:spacing w:line="520" w:lineRule="exact"/>
        <w:rPr>
          <w:rFonts w:hint="default" w:ascii="Times New Roman" w:hAnsi="Times New Roman" w:eastAsia="黑体" w:cs="Times New Roman"/>
          <w:sz w:val="28"/>
          <w:szCs w:val="21"/>
        </w:rPr>
      </w:pPr>
      <w:r>
        <w:rPr>
          <w:rFonts w:hint="default" w:ascii="Times New Roman" w:hAnsi="Times New Roman" w:eastAsia="黑体" w:cs="Times New Roman"/>
          <w:sz w:val="28"/>
          <w:szCs w:val="21"/>
        </w:rPr>
        <w:t>三、项目技术参数</w:t>
      </w:r>
    </w:p>
    <w:p>
      <w:pPr>
        <w:spacing w:line="360" w:lineRule="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1. 病原微生物宏基因组高通量基因检测</w:t>
      </w:r>
      <w:r>
        <w:rPr>
          <w:rFonts w:hint="default" w:ascii="Times New Roman" w:hAnsi="Times New Roman" w:eastAsia="宋体" w:cs="Times New Roman"/>
          <w:b/>
          <w:bCs/>
          <w:kern w:val="2"/>
          <w:sz w:val="21"/>
          <w:szCs w:val="21"/>
          <w:lang w:val="en-US" w:eastAsia="zh-CN" w:bidi="ar-SA"/>
        </w:rPr>
        <w:t>（mNGS）</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1) </w:t>
      </w:r>
      <w:r>
        <w:rPr>
          <w:rFonts w:hint="default" w:ascii="Times New Roman" w:hAnsi="Times New Roman" w:eastAsia="宋体" w:cs="Times New Roman"/>
          <w:kern w:val="2"/>
          <w:sz w:val="21"/>
          <w:szCs w:val="21"/>
          <w:lang w:val="en-US" w:eastAsia="zh-CN" w:bidi="ar-SA"/>
        </w:rPr>
        <w:t>检测内容：</w:t>
      </w:r>
      <w:r>
        <w:rPr>
          <w:rFonts w:hint="eastAsia" w:ascii="Times New Roman" w:hAnsi="Times New Roman" w:eastAsia="宋体" w:cs="Times New Roman"/>
          <w:kern w:val="2"/>
          <w:sz w:val="21"/>
          <w:szCs w:val="21"/>
          <w:lang w:val="en-US" w:eastAsia="zh-CN" w:bidi="ar-SA"/>
        </w:rPr>
        <w:t>涵盖&gt;</w:t>
      </w:r>
      <w:r>
        <w:rPr>
          <w:rFonts w:hint="default" w:ascii="Times New Roman" w:hAnsi="Times New Roman" w:eastAsia="宋体" w:cs="Times New Roman"/>
          <w:kern w:val="2"/>
          <w:sz w:val="21"/>
          <w:szCs w:val="21"/>
          <w:lang w:val="en-US" w:eastAsia="zh-CN" w:bidi="ar-SA"/>
        </w:rPr>
        <w:t>31000种病原微生物，</w:t>
      </w:r>
      <w:r>
        <w:rPr>
          <w:rFonts w:hint="eastAsia" w:ascii="Times New Roman" w:hAnsi="Times New Roman" w:eastAsia="宋体" w:cs="Times New Roman"/>
          <w:kern w:val="2"/>
          <w:sz w:val="21"/>
          <w:szCs w:val="21"/>
          <w:lang w:val="en-US" w:eastAsia="zh-CN" w:bidi="ar-SA"/>
        </w:rPr>
        <w:t>&gt;</w:t>
      </w:r>
      <w:r>
        <w:rPr>
          <w:rFonts w:hint="default" w:ascii="Times New Roman" w:hAnsi="Times New Roman" w:eastAsia="宋体" w:cs="Times New Roman"/>
          <w:kern w:val="2"/>
          <w:sz w:val="21"/>
          <w:szCs w:val="21"/>
          <w:lang w:val="en-US" w:eastAsia="zh-CN" w:bidi="ar-SA"/>
        </w:rPr>
        <w:t>30种耐药基因，</w:t>
      </w:r>
      <w:r>
        <w:rPr>
          <w:rFonts w:hint="eastAsia" w:ascii="Times New Roman" w:hAnsi="Times New Roman" w:eastAsia="宋体" w:cs="Times New Roman"/>
          <w:kern w:val="2"/>
          <w:sz w:val="21"/>
          <w:szCs w:val="21"/>
          <w:lang w:val="en-US" w:eastAsia="zh-CN" w:bidi="ar-SA"/>
        </w:rPr>
        <w:t>&gt;</w:t>
      </w:r>
      <w:r>
        <w:rPr>
          <w:rFonts w:hint="default" w:ascii="Times New Roman" w:hAnsi="Times New Roman" w:eastAsia="宋体" w:cs="Times New Roman"/>
          <w:kern w:val="2"/>
          <w:sz w:val="21"/>
          <w:szCs w:val="21"/>
          <w:lang w:val="en-US" w:eastAsia="zh-CN" w:bidi="ar-SA"/>
        </w:rPr>
        <w:t>280种毒力基因，包括病毒、细菌、真菌、寄生虫、分枝杆菌、支原体/衣原体等，为疑难危重感染提供快速精准诊断依据。</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样本处理要求：DNA检测采用珠磨法+酶解法双重破壁方式进行核酸提取；RNA检测采用RNA病毒富集技术</w:t>
      </w:r>
      <w:r>
        <w:rPr>
          <w:rFonts w:hint="eastAsia" w:ascii="Times New Roman" w:hAnsi="Times New Roman" w:eastAsia="宋体" w:cs="Times New Roman"/>
          <w:kern w:val="2"/>
          <w:sz w:val="21"/>
          <w:szCs w:val="21"/>
          <w:lang w:val="en-US" w:eastAsia="zh-CN" w:bidi="ar-SA"/>
        </w:rPr>
        <w:t>；进行去宿主处理。</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3）建库要求：采用无偏差PCR扩增技术。 </w:t>
      </w:r>
    </w:p>
    <w:p>
      <w:pPr>
        <w:spacing w:line="360" w:lineRule="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 样本类型：覆盖血、脑脊液、肺泡灌洗液、痰液、组织、其他体液等多种样本类型。</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5) </w:t>
      </w:r>
      <w:r>
        <w:rPr>
          <w:rFonts w:hint="default" w:ascii="Times New Roman" w:hAnsi="Times New Roman" w:eastAsia="宋体" w:cs="Times New Roman"/>
          <w:kern w:val="2"/>
          <w:sz w:val="21"/>
          <w:szCs w:val="21"/>
          <w:lang w:val="en-US" w:eastAsia="zh-CN" w:bidi="ar-SA"/>
        </w:rPr>
        <w:t>检测周期：≤24小时。</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r>
        <w:rPr>
          <w:rFonts w:hint="default" w:ascii="Times New Roman" w:hAnsi="Times New Roman" w:eastAsia="宋体" w:cs="Times New Roman"/>
          <w:kern w:val="2"/>
          <w:sz w:val="21"/>
          <w:szCs w:val="21"/>
          <w:lang w:val="en-US" w:eastAsia="zh-CN" w:bidi="ar-SA"/>
        </w:rPr>
        <w:t>采用国产化基因测序仪</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具有NMPA认证（属于国械注准）。</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r>
        <w:rPr>
          <w:rFonts w:hint="default" w:ascii="Times New Roman" w:hAnsi="Times New Roman" w:eastAsia="宋体" w:cs="Times New Roman"/>
          <w:kern w:val="2"/>
          <w:sz w:val="21"/>
          <w:szCs w:val="21"/>
          <w:lang w:val="en-US" w:eastAsia="zh-CN" w:bidi="ar-SA"/>
        </w:rPr>
        <w:t>测序反应通用试剂盒产品性能指标要求：准确度：检测企业参考品Q，测序所得序列信息与已知参考序列信息的符合率应≥99%。重复性：重复检测企业参考品Q5次，测序所得序列信息与已知参考序列信息的符合率的CV值不大于5%（n=5）。批间差：使用三个不同批次的试剂盒，分别检测企业参考品Q5次，测序所得序列信息与已知序列信息符合率的CV值不大于5%（n=15）。</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8）</w:t>
      </w:r>
      <w:r>
        <w:rPr>
          <w:rFonts w:hint="default" w:ascii="Times New Roman" w:hAnsi="Times New Roman" w:eastAsia="宋体" w:cs="Times New Roman"/>
          <w:kern w:val="2"/>
          <w:sz w:val="21"/>
          <w:szCs w:val="21"/>
          <w:lang w:val="en-US" w:eastAsia="zh-CN" w:bidi="ar-SA"/>
        </w:rPr>
        <w:t>分析软件：具备成熟的病原检测相关信息分析软件，并获得二类医疗器械注册证。</w:t>
      </w:r>
    </w:p>
    <w:p>
      <w:pPr>
        <w:pStyle w:val="11"/>
        <w:numPr>
          <w:ilvl w:val="0"/>
          <w:numId w:val="0"/>
        </w:numPr>
        <w:spacing w:line="360" w:lineRule="auto"/>
        <w:ind w:leftChars="0"/>
        <w:rPr>
          <w:rFonts w:hint="default"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kern w:val="2"/>
          <w:sz w:val="21"/>
          <w:szCs w:val="21"/>
          <w:lang w:val="en-US" w:eastAsia="zh-CN" w:bidi="ar-SA"/>
        </w:rPr>
        <w:t>2.</w:t>
      </w:r>
      <w:r>
        <w:rPr>
          <w:rFonts w:hint="eastAsia" w:ascii="Times New Roman" w:hAnsi="Times New Roman" w:eastAsia="宋体" w:cs="Times New Roman"/>
          <w:b/>
          <w:bCs/>
          <w:kern w:val="2"/>
          <w:sz w:val="21"/>
          <w:szCs w:val="21"/>
          <w:lang w:val="en-US" w:eastAsia="zh-CN" w:bidi="ar-SA"/>
        </w:rPr>
        <w:t xml:space="preserve"> </w:t>
      </w:r>
      <w:r>
        <w:rPr>
          <w:rFonts w:hint="default" w:ascii="Times New Roman" w:hAnsi="Times New Roman" w:eastAsia="宋体" w:cs="Times New Roman"/>
          <w:b/>
          <w:bCs/>
          <w:kern w:val="2"/>
          <w:sz w:val="21"/>
          <w:szCs w:val="21"/>
          <w:lang w:val="en-US" w:eastAsia="zh-CN" w:bidi="ar-SA"/>
        </w:rPr>
        <w:t>病原微生物靶向测序（tNGS）</w:t>
      </w:r>
    </w:p>
    <w:p>
      <w:pPr>
        <w:spacing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r>
        <w:rPr>
          <w:rFonts w:hint="default" w:ascii="Times New Roman" w:hAnsi="Times New Roman" w:eastAsia="宋体" w:cs="Times New Roman"/>
          <w:kern w:val="2"/>
          <w:sz w:val="21"/>
          <w:szCs w:val="21"/>
          <w:lang w:val="en-US" w:eastAsia="zh-CN" w:bidi="ar-SA"/>
        </w:rPr>
        <w:t>检测内容：</w:t>
      </w:r>
      <w:r>
        <w:rPr>
          <w:rFonts w:hint="eastAsia" w:ascii="Times New Roman" w:hAnsi="Times New Roman" w:eastAsia="宋体" w:cs="Times New Roman"/>
          <w:kern w:val="2"/>
          <w:sz w:val="21"/>
          <w:szCs w:val="21"/>
          <w:lang w:val="en-US" w:eastAsia="zh-CN" w:bidi="ar-SA"/>
        </w:rPr>
        <w:t>可鉴定呼吸道病原微生物&gt;230种，&gt;60个以上耐药基因，&gt;60种以上毒力基因，以及血液和中枢神经系统等多种症候群感染&gt;720种的病原微生物，覆盖结核和非结核分枝杆菌复合群的鉴定和相关耐药基因检测；可制定呼吸道病、消化道、血液和中枢神经系统等多系统的检测以及结核/非结核分支杆菌和真菌等特殊病原体和相关耐药基因的检测。</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2）样本处理要求：采用物理法+化学法双重破壁方式进行核酸提取，提高胞内菌、分支杆菌和真菌等病原体的检出。</w:t>
      </w:r>
    </w:p>
    <w:p>
      <w:pPr>
        <w:spacing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检测准确率：</w:t>
      </w:r>
      <w:r>
        <w:rPr>
          <w:rFonts w:hint="eastAsia" w:ascii="Times New Roman" w:hAnsi="Times New Roman" w:eastAsia="宋体" w:cs="Times New Roman"/>
          <w:kern w:val="2"/>
          <w:sz w:val="21"/>
          <w:szCs w:val="21"/>
          <w:lang w:val="en-US" w:eastAsia="zh-CN" w:bidi="ar-SA"/>
        </w:rPr>
        <w:t>&gt;</w:t>
      </w:r>
      <w:r>
        <w:rPr>
          <w:rFonts w:hint="default" w:ascii="Times New Roman" w:hAnsi="Times New Roman" w:eastAsia="宋体" w:cs="Times New Roman"/>
          <w:kern w:val="2"/>
          <w:sz w:val="21"/>
          <w:szCs w:val="21"/>
          <w:lang w:val="en-US" w:eastAsia="zh-CN" w:bidi="ar-SA"/>
        </w:rPr>
        <w:t>95%</w:t>
      </w:r>
      <w:r>
        <w:rPr>
          <w:rFonts w:hint="eastAsia" w:ascii="Times New Roman" w:hAnsi="Times New Roman" w:eastAsia="宋体" w:cs="Times New Roman"/>
          <w:kern w:val="2"/>
          <w:sz w:val="21"/>
          <w:szCs w:val="21"/>
          <w:lang w:val="en-US" w:eastAsia="zh-CN" w:bidi="ar-SA"/>
        </w:rPr>
        <w:t>，最低检测限为10 CFU（copies）/mL。</w:t>
      </w:r>
    </w:p>
    <w:p>
      <w:pPr>
        <w:spacing w:line="360" w:lineRule="auto"/>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样本类型：</w:t>
      </w:r>
      <w:r>
        <w:rPr>
          <w:rFonts w:hint="eastAsia" w:ascii="Times New Roman" w:hAnsi="Times New Roman" w:eastAsia="宋体" w:cs="Times New Roman"/>
          <w:kern w:val="2"/>
          <w:sz w:val="21"/>
          <w:szCs w:val="21"/>
          <w:lang w:val="en-US" w:eastAsia="zh-CN" w:bidi="ar-SA"/>
        </w:rPr>
        <w:t>覆盖外周血、肺泡灌洗液、痰液、鼻咽/口咽拭子、脑脊液、脓液、胸腹水、新鲜组织等样本</w:t>
      </w:r>
      <w:r>
        <w:rPr>
          <w:rFonts w:hint="default" w:ascii="Times New Roman" w:hAnsi="Times New Roman" w:eastAsia="宋体" w:cs="Times New Roman"/>
          <w:kern w:val="2"/>
          <w:sz w:val="21"/>
          <w:szCs w:val="21"/>
          <w:lang w:val="en-US" w:eastAsia="zh-CN" w:bidi="ar-SA"/>
        </w:rPr>
        <w:t>。</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r>
        <w:rPr>
          <w:rFonts w:hint="default" w:ascii="Times New Roman" w:hAnsi="Times New Roman" w:eastAsia="宋体" w:cs="Times New Roman"/>
          <w:kern w:val="2"/>
          <w:sz w:val="21"/>
          <w:szCs w:val="21"/>
          <w:lang w:val="en-US" w:eastAsia="zh-CN" w:bidi="ar-SA"/>
        </w:rPr>
        <w:t>检测周期：≤</w:t>
      </w:r>
      <w:r>
        <w:rPr>
          <w:rFonts w:hint="eastAsia" w:ascii="Times New Roman" w:hAnsi="Times New Roman" w:eastAsia="宋体" w:cs="Times New Roman"/>
          <w:kern w:val="2"/>
          <w:sz w:val="21"/>
          <w:szCs w:val="21"/>
          <w:lang w:val="en-US" w:eastAsia="zh-CN" w:bidi="ar-SA"/>
        </w:rPr>
        <w:t>24</w:t>
      </w:r>
      <w:r>
        <w:rPr>
          <w:rFonts w:hint="default" w:ascii="Times New Roman" w:hAnsi="Times New Roman" w:eastAsia="宋体" w:cs="Times New Roman"/>
          <w:kern w:val="2"/>
          <w:sz w:val="21"/>
          <w:szCs w:val="21"/>
          <w:lang w:val="en-US" w:eastAsia="zh-CN" w:bidi="ar-SA"/>
        </w:rPr>
        <w:t>小时。</w:t>
      </w:r>
    </w:p>
    <w:p>
      <w:pPr>
        <w:pStyle w:val="11"/>
        <w:numPr>
          <w:ilvl w:val="0"/>
          <w:numId w:val="0"/>
        </w:numPr>
        <w:spacing w:line="360" w:lineRule="auto"/>
        <w:ind w:leftChars="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r>
        <w:rPr>
          <w:rFonts w:hint="default" w:ascii="Times New Roman" w:hAnsi="Times New Roman" w:eastAsia="宋体" w:cs="Times New Roman"/>
          <w:kern w:val="2"/>
          <w:sz w:val="21"/>
          <w:szCs w:val="21"/>
          <w:lang w:val="en-US" w:eastAsia="zh-CN" w:bidi="ar-SA"/>
        </w:rPr>
        <w:t>采用国产化基因测序仪</w:t>
      </w:r>
      <w:r>
        <w:rPr>
          <w:rFonts w:hint="eastAsia" w:ascii="Times New Roman" w:hAnsi="Times New Roman" w:eastAsia="宋体"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具有NMPA认证（属于国械注准）。</w:t>
      </w:r>
    </w:p>
    <w:p>
      <w:pPr>
        <w:pStyle w:val="11"/>
        <w:numPr>
          <w:ilvl w:val="0"/>
          <w:numId w:val="0"/>
        </w:numPr>
        <w:spacing w:line="360" w:lineRule="auto"/>
        <w:ind w:left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7）分析数据库需至少包含病原序列库、宿主序列库、病原注释库、背景菌库、耐药/毒力数据库、同源物种过滤数据库。</w:t>
      </w:r>
    </w:p>
    <w:p>
      <w:pPr>
        <w:spacing w:line="520" w:lineRule="exact"/>
        <w:rPr>
          <w:rFonts w:hint="eastAsia" w:ascii="Times New Roman" w:hAnsi="Times New Roman" w:eastAsia="黑体" w:cs="Times New Roman"/>
          <w:sz w:val="28"/>
          <w:szCs w:val="21"/>
          <w:lang w:val="en-US" w:eastAsia="zh-CN"/>
        </w:rPr>
      </w:pPr>
      <w:r>
        <w:rPr>
          <w:rFonts w:hint="eastAsia" w:ascii="Times New Roman" w:hAnsi="Times New Roman" w:eastAsia="黑体" w:cs="Times New Roman"/>
          <w:sz w:val="28"/>
          <w:szCs w:val="21"/>
          <w:lang w:val="en-US" w:eastAsia="zh-CN"/>
        </w:rPr>
        <w:t>四、服务期</w:t>
      </w:r>
    </w:p>
    <w:p>
      <w:pPr>
        <w:spacing w:line="520" w:lineRule="exact"/>
        <w:rPr>
          <w:rFonts w:hint="default" w:ascii="Times New Roman" w:hAnsi="Times New Roman" w:eastAsia="宋体" w:cs="Times New Roman"/>
          <w:kern w:val="2"/>
          <w:sz w:val="21"/>
          <w:szCs w:val="21"/>
          <w:lang w:val="en-US" w:eastAsia="zh-CN" w:bidi="ar-SA"/>
        </w:rPr>
      </w:pPr>
      <w:r>
        <w:rPr>
          <w:rFonts w:hint="eastAsia" w:ascii="Times New Roman" w:hAnsi="Times New Roman" w:eastAsia="黑体" w:cs="Times New Roman"/>
          <w:sz w:val="28"/>
          <w:szCs w:val="21"/>
          <w:lang w:val="en-US" w:eastAsia="zh-CN"/>
        </w:rPr>
        <w:t xml:space="preserve">   </w:t>
      </w:r>
      <w:r>
        <w:rPr>
          <w:rFonts w:hint="eastAsia" w:ascii="Times New Roman" w:hAnsi="Times New Roman" w:eastAsia="仿宋" w:cs="Times New Roman"/>
          <w:sz w:val="28"/>
          <w:szCs w:val="21"/>
          <w:lang w:val="en-US" w:eastAsia="zh-CN"/>
        </w:rPr>
        <w:t xml:space="preserve"> </w:t>
      </w:r>
      <w:r>
        <w:rPr>
          <w:rFonts w:hint="eastAsia" w:ascii="Times New Roman" w:hAnsi="Times New Roman" w:eastAsia="宋体" w:cs="Times New Roman"/>
          <w:kern w:val="2"/>
          <w:sz w:val="21"/>
          <w:szCs w:val="21"/>
          <w:lang w:val="en-US" w:eastAsia="zh-CN" w:bidi="ar-SA"/>
        </w:rPr>
        <w:t>三年。</w:t>
      </w:r>
    </w:p>
    <w:p>
      <w:pPr>
        <w:pStyle w:val="11"/>
        <w:spacing w:line="360" w:lineRule="auto"/>
        <w:ind w:firstLine="0" w:firstLineChars="0"/>
        <w:rPr>
          <w:rFonts w:eastAsia="仿宋"/>
          <w:color w:val="000000"/>
          <w:shd w:val="clear" w:color="auto" w:fill="FFFFFF"/>
        </w:rPr>
      </w:pPr>
    </w:p>
    <w:p>
      <w:pPr>
        <w:pStyle w:val="11"/>
        <w:spacing w:line="360" w:lineRule="auto"/>
        <w:ind w:firstLine="0" w:firstLineChars="0"/>
        <w:rPr>
          <w:rFonts w:hint="eastAsia" w:ascii="黑体" w:hAnsi="黑体" w:eastAsia="黑体"/>
          <w:bCs/>
        </w:rPr>
      </w:pPr>
    </w:p>
    <w:p/>
    <w:sectPr>
      <w:pgSz w:w="11906" w:h="16838"/>
      <w:pgMar w:top="1134" w:right="1077" w:bottom="85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C7B26"/>
    <w:multiLevelType w:val="multilevel"/>
    <w:tmpl w:val="2EDC7B26"/>
    <w:lvl w:ilvl="0" w:tentative="0">
      <w:start w:val="1"/>
      <w:numFmt w:val="decimal"/>
      <w:lvlText w:val="%1."/>
      <w:lvlJc w:val="left"/>
      <w:pPr>
        <w:ind w:left="420" w:hanging="420"/>
      </w:p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0NjRjZDE5M2JmM2M2MzJhNWIxZmRmZjUxOWJmMmMifQ=="/>
  </w:docVars>
  <w:rsids>
    <w:rsidRoot w:val="00172A27"/>
    <w:rsid w:val="00086E6E"/>
    <w:rsid w:val="00091523"/>
    <w:rsid w:val="00172A27"/>
    <w:rsid w:val="00183FF2"/>
    <w:rsid w:val="00346E4C"/>
    <w:rsid w:val="003B5FF8"/>
    <w:rsid w:val="0047729F"/>
    <w:rsid w:val="00486628"/>
    <w:rsid w:val="005107B2"/>
    <w:rsid w:val="005F14D6"/>
    <w:rsid w:val="00602324"/>
    <w:rsid w:val="006E3B83"/>
    <w:rsid w:val="008F5273"/>
    <w:rsid w:val="008F7D17"/>
    <w:rsid w:val="00924FE8"/>
    <w:rsid w:val="00B21674"/>
    <w:rsid w:val="00B9792C"/>
    <w:rsid w:val="00BB4572"/>
    <w:rsid w:val="00BC3DA6"/>
    <w:rsid w:val="00DE4B2D"/>
    <w:rsid w:val="00E46BB8"/>
    <w:rsid w:val="00E84332"/>
    <w:rsid w:val="00EA3B3D"/>
    <w:rsid w:val="00FA1C42"/>
    <w:rsid w:val="00FD40C0"/>
    <w:rsid w:val="04753582"/>
    <w:rsid w:val="06836D20"/>
    <w:rsid w:val="0E7C78EC"/>
    <w:rsid w:val="13FC17C7"/>
    <w:rsid w:val="1D2D361D"/>
    <w:rsid w:val="1F362359"/>
    <w:rsid w:val="27E03E09"/>
    <w:rsid w:val="2D3266CD"/>
    <w:rsid w:val="358A2294"/>
    <w:rsid w:val="36594C71"/>
    <w:rsid w:val="37136EFA"/>
    <w:rsid w:val="3A2E6F14"/>
    <w:rsid w:val="3FFC6A67"/>
    <w:rsid w:val="413904CB"/>
    <w:rsid w:val="45BB6795"/>
    <w:rsid w:val="47DD7AD0"/>
    <w:rsid w:val="48204586"/>
    <w:rsid w:val="4BC507BD"/>
    <w:rsid w:val="526629AA"/>
    <w:rsid w:val="5339727F"/>
    <w:rsid w:val="57086D7C"/>
    <w:rsid w:val="57A845E5"/>
    <w:rsid w:val="5BFD6830"/>
    <w:rsid w:val="6680522D"/>
    <w:rsid w:val="671B54D2"/>
    <w:rsid w:val="69173C68"/>
    <w:rsid w:val="6B4D2D85"/>
    <w:rsid w:val="6D6D7952"/>
    <w:rsid w:val="713741DD"/>
    <w:rsid w:val="71996820"/>
    <w:rsid w:val="75A60B08"/>
    <w:rsid w:val="FF6D2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footer"/>
    <w:basedOn w:val="1"/>
    <w:link w:val="13"/>
    <w:qFormat/>
    <w:uiPriority w:val="0"/>
    <w:pPr>
      <w:tabs>
        <w:tab w:val="center" w:pos="4153"/>
        <w:tab w:val="right" w:pos="8306"/>
      </w:tabs>
      <w:snapToGrid w:val="0"/>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annotation subject"/>
    <w:basedOn w:val="2"/>
    <w:next w:val="2"/>
    <w:link w:val="16"/>
    <w:qFormat/>
    <w:uiPriority w:val="0"/>
    <w:rPr>
      <w:b/>
      <w:bCs/>
    </w:rPr>
  </w:style>
  <w:style w:type="character" w:styleId="8">
    <w:name w:val="annotation reference"/>
    <w:basedOn w:val="7"/>
    <w:qFormat/>
    <w:uiPriority w:val="0"/>
    <w:rPr>
      <w:sz w:val="21"/>
      <w:szCs w:val="21"/>
    </w:rPr>
  </w:style>
  <w:style w:type="paragraph" w:customStyle="1" w:styleId="9">
    <w:name w:val="List Paragraph2"/>
    <w:basedOn w:val="1"/>
    <w:qFormat/>
    <w:uiPriority w:val="0"/>
    <w:pPr>
      <w:ind w:firstLine="420" w:firstLineChars="200"/>
    </w:p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0"/>
    <w:rPr>
      <w:rFonts w:ascii="宋体"/>
      <w:sz w:val="18"/>
      <w:szCs w:val="18"/>
    </w:rPr>
  </w:style>
  <w:style w:type="character" w:customStyle="1" w:styleId="13">
    <w:name w:val="页脚 字符"/>
    <w:basedOn w:val="7"/>
    <w:link w:val="3"/>
    <w:qFormat/>
    <w:uiPriority w:val="0"/>
    <w:rPr>
      <w:rFonts w:ascii="宋体"/>
      <w:sz w:val="18"/>
      <w:szCs w:val="18"/>
    </w:rPr>
  </w:style>
  <w:style w:type="paragraph" w:customStyle="1" w:styleId="14">
    <w:name w:val="Revision"/>
    <w:hidden/>
    <w:unhideWhenUsed/>
    <w:qFormat/>
    <w:uiPriority w:val="99"/>
    <w:rPr>
      <w:rFonts w:ascii="宋体" w:hAnsi="Times New Roman" w:eastAsia="宋体" w:cs="Times New Roman"/>
      <w:sz w:val="24"/>
      <w:szCs w:val="24"/>
      <w:lang w:val="en-US" w:eastAsia="zh-CN" w:bidi="ar-SA"/>
    </w:rPr>
  </w:style>
  <w:style w:type="character" w:customStyle="1" w:styleId="15">
    <w:name w:val="批注文字 字符"/>
    <w:basedOn w:val="7"/>
    <w:link w:val="2"/>
    <w:qFormat/>
    <w:uiPriority w:val="0"/>
    <w:rPr>
      <w:rFonts w:ascii="宋体"/>
      <w:sz w:val="24"/>
      <w:szCs w:val="24"/>
    </w:rPr>
  </w:style>
  <w:style w:type="character" w:customStyle="1" w:styleId="16">
    <w:name w:val="批注主题 字符"/>
    <w:basedOn w:val="15"/>
    <w:link w:val="5"/>
    <w:qFormat/>
    <w:uiPriority w:val="0"/>
    <w:rPr>
      <w:rFonts w:ascii="宋体"/>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825</Words>
  <Characters>4703</Characters>
  <Lines>39</Lines>
  <Paragraphs>11</Paragraphs>
  <TotalTime>0</TotalTime>
  <ScaleCrop>false</ScaleCrop>
  <LinksUpToDate>false</LinksUpToDate>
  <CharactersWithSpaces>5517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2025-03-06T08:07:00Z</dcterms:created>
  <dc:creator>......</dc:creator>
  <cp:lastModifiedBy>zyys</cp:lastModifiedBy>
  <cp:lastPrinted>2024-01-26T02:58:00Z</cp:lastPrinted>
  <dcterms:modified xsi:type="dcterms:W3CDTF">2025-03-14T06:41:01Z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3DF4537B4BC8DB31BE1F9064BCDF6B35_43</vt:lpwstr>
  </property>
</Properties>
</file>