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B839C7" w:rsidRPr="00F84202" w:rsidRDefault="00B839C7" w:rsidP="00B839C7">
      <w:pPr>
        <w:pStyle w:val="1"/>
        <w:numPr>
          <w:ilvl w:val="0"/>
          <w:numId w:val="1"/>
        </w:numPr>
        <w:ind w:left="426" w:firstLineChars="0"/>
        <w:contextualSpacing/>
        <w:rPr>
          <w:rFonts w:ascii="宋体" w:hAnsi="宋体"/>
          <w:b/>
          <w:bCs/>
          <w:color w:val="000000"/>
          <w:sz w:val="28"/>
          <w:szCs w:val="28"/>
        </w:rPr>
      </w:pPr>
      <w:r>
        <w:rPr>
          <w:rFonts w:ascii="宋体" w:hAnsi="宋体" w:hint="eastAsia"/>
          <w:b/>
          <w:bCs/>
          <w:sz w:val="28"/>
          <w:szCs w:val="28"/>
        </w:rPr>
        <w:t>医用</w:t>
      </w:r>
      <w:r w:rsidRPr="00A72149">
        <w:rPr>
          <w:rFonts w:ascii="宋体" w:hAnsi="宋体" w:hint="eastAsia"/>
          <w:b/>
          <w:bCs/>
          <w:sz w:val="28"/>
          <w:szCs w:val="28"/>
        </w:rPr>
        <w:t>磁共振成像系统</w:t>
      </w:r>
      <w:r>
        <w:rPr>
          <w:rFonts w:ascii="宋体" w:hAnsi="宋体" w:hint="eastAsia"/>
          <w:b/>
          <w:bCs/>
          <w:sz w:val="28"/>
          <w:szCs w:val="28"/>
        </w:rPr>
        <w:t>保修</w:t>
      </w:r>
    </w:p>
    <w:p w:rsidR="00B839C7" w:rsidRDefault="00B839C7" w:rsidP="00B839C7">
      <w:pPr>
        <w:numPr>
          <w:ilvl w:val="0"/>
          <w:numId w:val="10"/>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A72149">
        <w:rPr>
          <w:rFonts w:ascii="宋体" w:hAnsi="宋体" w:hint="eastAsia"/>
          <w:sz w:val="28"/>
          <w:szCs w:val="28"/>
        </w:rPr>
        <w:t>上海联影</w:t>
      </w:r>
      <w:r w:rsidRPr="00A72149">
        <w:rPr>
          <w:rFonts w:ascii="宋体" w:hAnsi="宋体"/>
          <w:sz w:val="28"/>
          <w:szCs w:val="28"/>
        </w:rPr>
        <w:t>uMR790</w:t>
      </w:r>
      <w:r>
        <w:rPr>
          <w:rFonts w:ascii="宋体" w:hAnsi="宋体" w:hint="eastAsia"/>
          <w:sz w:val="28"/>
          <w:szCs w:val="28"/>
        </w:rPr>
        <w:t>型</w:t>
      </w:r>
    </w:p>
    <w:p w:rsidR="00B839C7" w:rsidRPr="00F84202" w:rsidRDefault="00B839C7" w:rsidP="00B839C7">
      <w:pPr>
        <w:numPr>
          <w:ilvl w:val="0"/>
          <w:numId w:val="10"/>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23</w:t>
      </w:r>
      <w:r w:rsidRPr="007B1CDC">
        <w:rPr>
          <w:rFonts w:ascii="宋体" w:hAnsi="宋体" w:hint="eastAsia"/>
          <w:sz w:val="28"/>
          <w:szCs w:val="28"/>
        </w:rPr>
        <w:t>年</w:t>
      </w:r>
    </w:p>
    <w:p w:rsidR="00B839C7" w:rsidRPr="00F84202" w:rsidRDefault="00B839C7" w:rsidP="00B839C7">
      <w:pPr>
        <w:numPr>
          <w:ilvl w:val="0"/>
          <w:numId w:val="10"/>
        </w:numPr>
        <w:contextualSpacing/>
        <w:rPr>
          <w:rFonts w:ascii="宋体" w:hAnsi="宋体"/>
          <w:b/>
          <w:sz w:val="28"/>
          <w:szCs w:val="28"/>
        </w:rPr>
      </w:pPr>
      <w:r w:rsidRPr="00F84202">
        <w:rPr>
          <w:rFonts w:ascii="宋体" w:hAnsi="宋体" w:hint="eastAsia"/>
          <w:b/>
          <w:sz w:val="28"/>
          <w:szCs w:val="28"/>
        </w:rPr>
        <w:t>技术要求</w:t>
      </w:r>
    </w:p>
    <w:p w:rsidR="00B839C7" w:rsidRPr="00E63546" w:rsidRDefault="00B839C7" w:rsidP="00B839C7">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B839C7" w:rsidRPr="00E63546" w:rsidRDefault="00B839C7" w:rsidP="00B839C7">
      <w:pPr>
        <w:pStyle w:val="a3"/>
        <w:numPr>
          <w:ilvl w:val="1"/>
          <w:numId w:val="9"/>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1台3</w:t>
      </w:r>
      <w:r w:rsidRPr="00E63546">
        <w:rPr>
          <w:rFonts w:ascii="宋体" w:hAnsi="宋体" w:hint="eastAsia"/>
          <w:sz w:val="28"/>
          <w:szCs w:val="28"/>
        </w:rPr>
        <w:t>年。</w:t>
      </w:r>
    </w:p>
    <w:p w:rsidR="00B839C7" w:rsidRDefault="00B839C7" w:rsidP="00B839C7">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839C7" w:rsidRDefault="00B839C7" w:rsidP="00B839C7">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839C7" w:rsidRDefault="00B839C7" w:rsidP="00B839C7">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B839C7" w:rsidRPr="00E63546" w:rsidRDefault="00B839C7" w:rsidP="00B839C7">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lastRenderedPageBreak/>
        <w:t>具备保障年正常开机时间：≥</w:t>
      </w:r>
      <w:r>
        <w:rPr>
          <w:rFonts w:ascii="宋体" w:hAnsi="宋体"/>
          <w:sz w:val="28"/>
          <w:szCs w:val="28"/>
        </w:rPr>
        <w:t>95%</w:t>
      </w:r>
      <w:r>
        <w:rPr>
          <w:rFonts w:ascii="宋体" w:hAnsi="宋体" w:hint="eastAsia"/>
          <w:sz w:val="28"/>
          <w:szCs w:val="28"/>
        </w:rPr>
        <w:t>。</w:t>
      </w:r>
    </w:p>
    <w:p w:rsidR="00B839C7" w:rsidRPr="00F84202" w:rsidRDefault="00B839C7" w:rsidP="00B839C7">
      <w:pPr>
        <w:numPr>
          <w:ilvl w:val="0"/>
          <w:numId w:val="10"/>
        </w:numPr>
        <w:contextualSpacing/>
        <w:rPr>
          <w:rFonts w:ascii="宋体" w:hAnsi="宋体"/>
          <w:b/>
          <w:bCs/>
          <w:sz w:val="28"/>
          <w:szCs w:val="28"/>
        </w:rPr>
      </w:pPr>
      <w:r w:rsidRPr="00F84202">
        <w:rPr>
          <w:rFonts w:ascii="宋体" w:hAnsi="宋体" w:hint="eastAsia"/>
          <w:b/>
          <w:bCs/>
          <w:sz w:val="28"/>
          <w:szCs w:val="28"/>
        </w:rPr>
        <w:t>配置要求</w:t>
      </w:r>
    </w:p>
    <w:p w:rsidR="00B839C7" w:rsidRDefault="00B839C7" w:rsidP="00B839C7">
      <w:pPr>
        <w:pStyle w:val="a3"/>
        <w:numPr>
          <w:ilvl w:val="1"/>
          <w:numId w:val="10"/>
        </w:numPr>
        <w:ind w:firstLineChars="0"/>
        <w:contextualSpacing/>
        <w:rPr>
          <w:rFonts w:ascii="宋体" w:hAnsi="宋体" w:hint="eastAsia"/>
          <w:bCs/>
          <w:color w:val="000000"/>
          <w:sz w:val="28"/>
          <w:szCs w:val="28"/>
        </w:rPr>
      </w:pPr>
      <w:r>
        <w:rPr>
          <w:rFonts w:ascii="宋体" w:hAnsi="宋体" w:hint="eastAsia"/>
          <w:sz w:val="28"/>
          <w:szCs w:val="28"/>
        </w:rPr>
        <w:t>医用磁共振成像系统保修</w:t>
      </w:r>
      <w:r>
        <w:rPr>
          <w:rFonts w:ascii="宋体" w:hAnsi="宋体" w:hint="eastAsia"/>
          <w:bCs/>
          <w:color w:val="000000"/>
          <w:sz w:val="28"/>
          <w:szCs w:val="28"/>
        </w:rPr>
        <w:t>1台/3年</w:t>
      </w:r>
    </w:p>
    <w:p w:rsidR="00B839C7" w:rsidRDefault="00B839C7" w:rsidP="00B839C7">
      <w:pPr>
        <w:pStyle w:val="a3"/>
        <w:ind w:left="1130" w:firstLineChars="0" w:firstLine="0"/>
        <w:contextualSpacing/>
        <w:rPr>
          <w:rFonts w:ascii="宋体" w:hAnsi="宋体"/>
          <w:bCs/>
          <w:color w:val="000000"/>
          <w:sz w:val="28"/>
          <w:szCs w:val="28"/>
        </w:rPr>
      </w:pPr>
    </w:p>
    <w:p w:rsidR="00B839C7" w:rsidRPr="00F84202" w:rsidRDefault="00B839C7" w:rsidP="00B839C7">
      <w:pPr>
        <w:pStyle w:val="1"/>
        <w:numPr>
          <w:ilvl w:val="0"/>
          <w:numId w:val="1"/>
        </w:numPr>
        <w:ind w:left="426" w:firstLineChars="0"/>
        <w:contextualSpacing/>
        <w:rPr>
          <w:rFonts w:ascii="宋体" w:hAnsi="宋体"/>
          <w:b/>
          <w:bCs/>
          <w:color w:val="000000"/>
          <w:sz w:val="28"/>
          <w:szCs w:val="28"/>
        </w:rPr>
      </w:pPr>
      <w:r>
        <w:rPr>
          <w:rFonts w:ascii="宋体" w:hAnsi="宋体" w:hint="eastAsia"/>
          <w:b/>
          <w:bCs/>
          <w:sz w:val="28"/>
          <w:szCs w:val="28"/>
        </w:rPr>
        <w:t>数字减影血管造影装置保修</w:t>
      </w:r>
    </w:p>
    <w:p w:rsidR="00B839C7" w:rsidRDefault="00B839C7" w:rsidP="00B839C7">
      <w:pPr>
        <w:numPr>
          <w:ilvl w:val="0"/>
          <w:numId w:val="12"/>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A72149">
        <w:rPr>
          <w:rFonts w:ascii="宋体" w:hAnsi="宋体" w:hint="eastAsia"/>
          <w:sz w:val="28"/>
          <w:szCs w:val="28"/>
        </w:rPr>
        <w:t>沈阳东软</w:t>
      </w:r>
      <w:r w:rsidRPr="00A72149">
        <w:rPr>
          <w:rFonts w:ascii="宋体" w:hAnsi="宋体"/>
          <w:sz w:val="28"/>
          <w:szCs w:val="28"/>
        </w:rPr>
        <w:t>NeuAngio 30C</w:t>
      </w:r>
      <w:r>
        <w:rPr>
          <w:rFonts w:ascii="宋体" w:hAnsi="宋体" w:hint="eastAsia"/>
          <w:sz w:val="28"/>
          <w:szCs w:val="28"/>
        </w:rPr>
        <w:t>型</w:t>
      </w:r>
    </w:p>
    <w:p w:rsidR="00B839C7" w:rsidRPr="00F84202" w:rsidRDefault="00B839C7" w:rsidP="00B839C7">
      <w:pPr>
        <w:numPr>
          <w:ilvl w:val="0"/>
          <w:numId w:val="12"/>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w:t>
      </w:r>
      <w:r>
        <w:rPr>
          <w:rFonts w:ascii="宋体" w:hAnsi="宋体"/>
          <w:sz w:val="28"/>
          <w:szCs w:val="28"/>
        </w:rPr>
        <w:t>2</w:t>
      </w:r>
      <w:r w:rsidRPr="007B1CDC">
        <w:rPr>
          <w:rFonts w:ascii="宋体" w:hAnsi="宋体" w:hint="eastAsia"/>
          <w:sz w:val="28"/>
          <w:szCs w:val="28"/>
        </w:rPr>
        <w:t>年</w:t>
      </w:r>
    </w:p>
    <w:p w:rsidR="00B839C7" w:rsidRPr="00F84202" w:rsidRDefault="00B839C7" w:rsidP="00B839C7">
      <w:pPr>
        <w:numPr>
          <w:ilvl w:val="0"/>
          <w:numId w:val="12"/>
        </w:numPr>
        <w:contextualSpacing/>
        <w:rPr>
          <w:rFonts w:ascii="宋体" w:hAnsi="宋体"/>
          <w:b/>
          <w:sz w:val="28"/>
          <w:szCs w:val="28"/>
        </w:rPr>
      </w:pPr>
      <w:r w:rsidRPr="00F84202">
        <w:rPr>
          <w:rFonts w:ascii="宋体" w:hAnsi="宋体" w:hint="eastAsia"/>
          <w:b/>
          <w:sz w:val="28"/>
          <w:szCs w:val="28"/>
        </w:rPr>
        <w:t>技术要求</w:t>
      </w:r>
    </w:p>
    <w:p w:rsidR="00B839C7" w:rsidRPr="00E63546" w:rsidRDefault="00B839C7" w:rsidP="00B839C7">
      <w:pPr>
        <w:pStyle w:val="a3"/>
        <w:numPr>
          <w:ilvl w:val="1"/>
          <w:numId w:val="12"/>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B839C7" w:rsidRPr="00E63546" w:rsidRDefault="00B839C7" w:rsidP="00B839C7">
      <w:pPr>
        <w:pStyle w:val="a3"/>
        <w:numPr>
          <w:ilvl w:val="1"/>
          <w:numId w:val="12"/>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1台3</w:t>
      </w:r>
      <w:r w:rsidRPr="00E63546">
        <w:rPr>
          <w:rFonts w:ascii="宋体" w:hAnsi="宋体" w:hint="eastAsia"/>
          <w:sz w:val="28"/>
          <w:szCs w:val="28"/>
        </w:rPr>
        <w:t>年。</w:t>
      </w:r>
    </w:p>
    <w:p w:rsidR="00B839C7" w:rsidRDefault="00B839C7" w:rsidP="00B839C7">
      <w:pPr>
        <w:pStyle w:val="a3"/>
        <w:numPr>
          <w:ilvl w:val="1"/>
          <w:numId w:val="12"/>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839C7" w:rsidRDefault="00B839C7" w:rsidP="00B839C7">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839C7" w:rsidRDefault="00B839C7" w:rsidP="00B839C7">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B839C7" w:rsidRPr="00E63546" w:rsidRDefault="00B839C7" w:rsidP="00B839C7">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B839C7" w:rsidRPr="00F84202" w:rsidRDefault="00B839C7" w:rsidP="00B839C7">
      <w:pPr>
        <w:numPr>
          <w:ilvl w:val="0"/>
          <w:numId w:val="12"/>
        </w:numPr>
        <w:contextualSpacing/>
        <w:rPr>
          <w:rFonts w:ascii="宋体" w:hAnsi="宋体"/>
          <w:b/>
          <w:bCs/>
          <w:sz w:val="28"/>
          <w:szCs w:val="28"/>
        </w:rPr>
      </w:pPr>
      <w:r w:rsidRPr="00F84202">
        <w:rPr>
          <w:rFonts w:ascii="宋体" w:hAnsi="宋体" w:hint="eastAsia"/>
          <w:b/>
          <w:bCs/>
          <w:sz w:val="28"/>
          <w:szCs w:val="28"/>
        </w:rPr>
        <w:t>配置要求</w:t>
      </w:r>
    </w:p>
    <w:p w:rsidR="00B839C7" w:rsidRPr="008455B4" w:rsidRDefault="00B839C7" w:rsidP="00B839C7">
      <w:pPr>
        <w:pStyle w:val="a3"/>
        <w:numPr>
          <w:ilvl w:val="1"/>
          <w:numId w:val="12"/>
        </w:numPr>
        <w:ind w:firstLineChars="0"/>
        <w:contextualSpacing/>
        <w:rPr>
          <w:rFonts w:ascii="宋体" w:hAnsi="宋体"/>
          <w:bCs/>
          <w:color w:val="000000"/>
          <w:sz w:val="28"/>
          <w:szCs w:val="28"/>
        </w:rPr>
      </w:pPr>
      <w:r w:rsidRPr="00A72149">
        <w:rPr>
          <w:rFonts w:ascii="宋体" w:hAnsi="宋体" w:hint="eastAsia"/>
          <w:sz w:val="28"/>
          <w:szCs w:val="28"/>
        </w:rPr>
        <w:t>数字减影血管造影装置</w:t>
      </w:r>
      <w:r>
        <w:rPr>
          <w:rFonts w:ascii="宋体" w:hAnsi="宋体" w:hint="eastAsia"/>
          <w:bCs/>
          <w:color w:val="000000"/>
          <w:sz w:val="28"/>
          <w:szCs w:val="28"/>
        </w:rPr>
        <w:t>保修1台/3年</w:t>
      </w:r>
    </w:p>
    <w:p w:rsidR="00BA72AE" w:rsidRPr="00B839C7" w:rsidRDefault="00BA72AE" w:rsidP="00893125">
      <w:pPr>
        <w:pStyle w:val="a3"/>
        <w:widowControl/>
        <w:ind w:left="426" w:firstLineChars="0" w:firstLine="0"/>
        <w:rPr>
          <w:rFonts w:ascii="宋体" w:hAnsi="宋体"/>
          <w:sz w:val="28"/>
          <w:szCs w:val="28"/>
        </w:rPr>
      </w:pPr>
    </w:p>
    <w:sectPr w:rsidR="00BA72AE" w:rsidRPr="00B839C7"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5C" w:rsidRDefault="0026235C" w:rsidP="00B74AFF">
      <w:r>
        <w:separator/>
      </w:r>
    </w:p>
  </w:endnote>
  <w:endnote w:type="continuationSeparator" w:id="1">
    <w:p w:rsidR="0026235C" w:rsidRDefault="0026235C"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5C" w:rsidRDefault="0026235C" w:rsidP="00B74AFF">
      <w:r>
        <w:separator/>
      </w:r>
    </w:p>
  </w:footnote>
  <w:footnote w:type="continuationSeparator" w:id="1">
    <w:p w:rsidR="0026235C" w:rsidRDefault="0026235C"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6">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28">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5"/>
  </w:num>
  <w:num w:numId="3">
    <w:abstractNumId w:val="3"/>
  </w:num>
  <w:num w:numId="4">
    <w:abstractNumId w:val="8"/>
  </w:num>
  <w:num w:numId="5">
    <w:abstractNumId w:val="12"/>
  </w:num>
  <w:num w:numId="6">
    <w:abstractNumId w:val="26"/>
  </w:num>
  <w:num w:numId="7">
    <w:abstractNumId w:val="9"/>
  </w:num>
  <w:num w:numId="8">
    <w:abstractNumId w:val="10"/>
  </w:num>
  <w:num w:numId="9">
    <w:abstractNumId w:val="6"/>
  </w:num>
  <w:num w:numId="10">
    <w:abstractNumId w:val="1"/>
  </w:num>
  <w:num w:numId="11">
    <w:abstractNumId w:val="21"/>
  </w:num>
  <w:num w:numId="12">
    <w:abstractNumId w:val="11"/>
  </w:num>
  <w:num w:numId="13">
    <w:abstractNumId w:val="0"/>
  </w:num>
  <w:num w:numId="14">
    <w:abstractNumId w:val="18"/>
  </w:num>
  <w:num w:numId="15">
    <w:abstractNumId w:val="23"/>
  </w:num>
  <w:num w:numId="16">
    <w:abstractNumId w:val="17"/>
  </w:num>
  <w:num w:numId="17">
    <w:abstractNumId w:val="2"/>
  </w:num>
  <w:num w:numId="18">
    <w:abstractNumId w:val="13"/>
  </w:num>
  <w:num w:numId="19">
    <w:abstractNumId w:val="28"/>
  </w:num>
  <w:num w:numId="20">
    <w:abstractNumId w:val="20"/>
  </w:num>
  <w:num w:numId="21">
    <w:abstractNumId w:val="14"/>
  </w:num>
  <w:num w:numId="22">
    <w:abstractNumId w:val="29"/>
  </w:num>
  <w:num w:numId="23">
    <w:abstractNumId w:val="4"/>
  </w:num>
  <w:num w:numId="24">
    <w:abstractNumId w:val="16"/>
  </w:num>
  <w:num w:numId="25">
    <w:abstractNumId w:val="30"/>
  </w:num>
  <w:num w:numId="26">
    <w:abstractNumId w:val="19"/>
  </w:num>
  <w:num w:numId="27">
    <w:abstractNumId w:val="24"/>
  </w:num>
  <w:num w:numId="28">
    <w:abstractNumId w:val="22"/>
  </w:num>
  <w:num w:numId="29">
    <w:abstractNumId w:val="25"/>
  </w:num>
  <w:num w:numId="30">
    <w:abstractNumId w:val="15"/>
  </w:num>
  <w:num w:numId="31">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0EDD"/>
    <w:rsid w:val="001D45F5"/>
    <w:rsid w:val="001E0E1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597B"/>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D33"/>
    <w:rsid w:val="00C05651"/>
    <w:rsid w:val="00C24100"/>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2025-06-06T00:30:00Z</dcterms:created>
  <dcterms:modified xsi:type="dcterms:W3CDTF">2025-06-06T00:30:00Z</dcterms:modified>
</cp:coreProperties>
</file>